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877184-20250731.htm"/>
      <w:bookmarkStart w:id="1" w:name="ksck000187718420250731"/>
      <w:bookmarkEnd w:id="0"/>
      <w:bookmarkEnd w:id="1"/>
      <w:r>
        <w:rPr/>
        <w:t> </w:t>
      </w:r>
    </w:p>
    <w:p>
      <w:pPr>
        <w:pStyle w:val="TextBody"/>
        <w:pBdr>
          <w:top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July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 to 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001-42549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Kestra Medical Technologies, Ltd.</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3721"/>
        <w:gridCol w:w="1411"/>
      </w:tblGrid>
      <w:tr>
        <w:trPr/>
        <w:tc>
          <w:tcPr>
            <w:tcW w:w="372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Bermuda</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37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72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3933 Lake Washington Blvd NE,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Kirkland, WA</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98033</w:t>
            </w:r>
          </w:p>
        </w:tc>
      </w:tr>
      <w:tr>
        <w:trPr/>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(425) 279-8002</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15" w:type="dxa"/>
        <w:jc w:val="left"/>
        <w:tblInd w:w="0" w:type="dxa"/>
        <w:tblLayout w:type="fixed"/>
        <w:tblCellMar>
          <w:top w:w="28" w:type="dxa"/>
          <w:left w:w="28" w:type="dxa"/>
          <w:bottom w:w="28" w:type="dxa"/>
          <w:right w:w="28" w:type="dxa"/>
        </w:tblCellMar>
      </w:tblPr>
      <w:tblGrid>
        <w:gridCol w:w="3181"/>
        <w:gridCol w:w="146"/>
        <w:gridCol w:w="826"/>
        <w:gridCol w:w="14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Shares, par value $1.00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KMTS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September 11, 2025, the registrant had 51,449,053</w:t>
      </w:r>
      <w:r>
        <w:rPr>
          <w:rFonts w:ascii="Times New Roman" w:hAnsi="Times New Roman"/>
          <w:color w:val="000000"/>
          <w:sz w:val="20"/>
        </w:rPr>
        <w:t xml:space="preserve"> </w:t>
      </w:r>
      <w:r>
        <w:rPr>
          <w:rFonts w:ascii="Times New Roman" w:hAnsi="Times New Roman"/>
          <w:color w:val="000000"/>
          <w:sz w:val="18"/>
        </w:rPr>
        <w:t>Common Shares, par value $1.00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8"/>
        <w:gridCol w:w="8825"/>
        <w:gridCol w:w="512"/>
      </w:tblGrid>
      <w:tr>
        <w:trPr/>
        <w:tc>
          <w:tcPr>
            <w:tcW w:w="868" w:type="dxa"/>
            <w:tcBorders/>
            <w:vAlign w:val="center"/>
          </w:tcPr>
          <w:p>
            <w:pPr>
              <w:pStyle w:val="TableContents"/>
              <w:bidi w:val="0"/>
              <w:spacing w:before="0" w:after="283"/>
              <w:jc w:val="left"/>
              <w:rPr>
                <w:sz w:val="4"/>
                <w:szCs w:val="4"/>
              </w:rPr>
            </w:pPr>
            <w:r>
              <w:rPr>
                <w:sz w:val="4"/>
                <w:szCs w:val="4"/>
              </w:rPr>
            </w:r>
          </w:p>
        </w:tc>
        <w:tc>
          <w:tcPr>
            <w:tcW w:w="882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FINANCIAL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Operations and Comprehensive Loss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Condensed Consolidated Statements of Changes in Redeemable Preferred Stock and Shareholders’ Equity (Deficit)</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
              <w:r>
                <w:rPr>
                  <w:rStyle w:val="InternetLink"/>
                  <w:rFonts w:ascii="Times New Roman" w:hAnsi="Times New Roman"/>
                  <w:color w:val="0000FF"/>
                  <w:sz w:val="20"/>
                  <w:u w:val="single"/>
                </w:rPr>
                <w:t>Condensed Consolidated Statements of Cash Flows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
              <w:r>
                <w:rPr>
                  <w:rStyle w:val="InternetLink"/>
                  <w:rFonts w:ascii="Times New Roman" w:hAnsi="Times New Roman"/>
                  <w:color w:val="0000FF"/>
                  <w:sz w:val="20"/>
                  <w:u w:val="single"/>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Quarterly Report on Form 10-Q (the “Quarterly Report”) contains “forward-looking” statements within the meaning of the safe harbor provisions of the Private Securities Litigation Reform Act of 1995. These forward-looking statements are based on our management’s beliefs and assumptions and on information currently available to our management. The forward-looking statements are contained principally in the section captioned “Management’s Discussion and Analysis of Financial Condition and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 looking statements include statements that are not historical facts and can be identified by terms such as “anticipate,” “believe,” “continue,” “could,” “estimate,” “expect,” “intend,” “may,” “might,” “objective,” “ongoing,” “plan,” “potential,” “predict,” “project,” “should,” “will” and “would,” or the negative of these terms, or other comparable terminology intended to identify statements about the future.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Important factors that could cause actual results, performance or achievements to differ materially from our expectations are described in Part II, Item 1A, “Risk Factors” and elsewhere in this Quarterly Report, and include, but are not limited to, the following: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continue to expand the commercialization of our ASSURE WCD, including associated products and services as part of our Cardiac Recovery System platform, or to commercialize any future product candidates and begin generating revenue;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maintain regulatory approvals for our ASSURE WCD and to obtain new regulatory approvals necessary to distribute our ASSURE WCD in new markets or to distribute additional products we develop in the future;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rate and degree of market acceptance of our ASSURE WCD or any future product candidates that receive the necessary marketing and other regulatory approvals;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availability of reimbursement for our products;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scale the manufacturing of our ASSURE WCD, obtain sufficient and timely supplies of components necessary to manufacture our ASSURE WCD and effectively manage inventory and distribution;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hire and retain qualified personnel, including senior management and sales professionals;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estimates of our total addressable market and near-term achievable market for our products;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timing or likelihood of regulatory filings and approvals or clearances;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growth plans, including our plans to enter into new markets;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defend ourselves against claims of infringement;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progress, timing, costs and results of our clinical trials;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changes and developments relating to our regulatory landscape;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financial performance and changes in market trends;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increased expenses associated with being a public company;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changes and developments relating to our competitors and our industry.</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caution you that the foregoing list does not contain all of the forward-looking statements made in this Quarterly Report. More information on factors that could cause our actual results to differ from those expressed in forward-looking statements is included from time to time in our reports filed with the Securities and Exchange Commission, including in our Annual Report on Form 10-K for the year ended April 30, 2025 (the “Annual Report”), particularly under Part I, Item 1A, "Risk Factors."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Given these uncertainties, we cannot assure you that the forward-looking statements in this Quarterly Report will prove to be accurate. Also, forward-looking statements represent our management’s beliefs and assumptions only as of the date of this Quarterly Report and should not be relied upon as representing our expectations or beliefs as of any date subsequent to the time they are made. Except as required by law, the Company does not undertake to and specifically declines any obligation to update any forward-looking statements that may be made from time to time by or on behalf of the Company.</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bookmarkStart w:id="2" w:name="condensed_consolidated_balance_sheets"/>
      <w:bookmarkEnd w:id="2"/>
      <w:r>
        <w:rPr>
          <w:rFonts w:ascii="Times New Roman" w:hAnsi="Times New Roman"/>
          <w:b/>
          <w:color w:val="000000"/>
          <w:sz w:val="20"/>
        </w:rPr>
        <w:t>CONDENSED CONSOLIDATED BALANCE SHEETS</w:t>
      </w:r>
    </w:p>
    <w:p>
      <w:pPr>
        <w:pStyle w:val="TextBody"/>
        <w:bidi w:val="0"/>
        <w:jc w:val="center"/>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2"/>
        <w:gridCol w:w="146"/>
        <w:gridCol w:w="211"/>
        <w:gridCol w:w="841"/>
        <w:gridCol w:w="166"/>
        <w:gridCol w:w="146"/>
        <w:gridCol w:w="211"/>
        <w:gridCol w:w="841"/>
        <w:gridCol w:w="511"/>
      </w:tblGrid>
      <w:tr>
        <w:trPr/>
        <w:tc>
          <w:tcPr>
            <w:tcW w:w="7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237,595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Disposable medical equipment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255,328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295,744</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90,338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shares, $1.00 par value; 100,000,000 shares authorized as of July 31, 2025 and April 30, 2025; 51,348,656 shares issued and outstanding as of July 31, 2025 and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(520,249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205,406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295,744</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bookmarkStart w:id="3" w:name="comprehensive_loss"/>
      <w:bookmarkEnd w:id="3"/>
      <w:r>
        <w:rPr>
          <w:rFonts w:ascii="Times New Roman" w:hAnsi="Times New Roman"/>
          <w:b/>
          <w:color w:val="000000"/>
          <w:sz w:val="20"/>
        </w:rPr>
        <w:t>CONDENSED CONSOLIDATED STATEMENTS OF OPERATIONS AND COMPREHENSIVE LOSS</w:t>
      </w:r>
    </w:p>
    <w:p>
      <w:pPr>
        <w:pStyle w:val="TextBody"/>
        <w:bidi w:val="0"/>
        <w:jc w:val="center"/>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462"/>
        <w:gridCol w:w="146"/>
        <w:gridCol w:w="211"/>
        <w:gridCol w:w="1036"/>
        <w:gridCol w:w="166"/>
        <w:gridCol w:w="146"/>
        <w:gridCol w:w="211"/>
        <w:gridCol w:w="1036"/>
        <w:gridCol w:w="791"/>
      </w:tblGrid>
      <w:tr>
        <w:trPr/>
        <w:tc>
          <w:tcPr>
            <w:tcW w:w="6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4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 attributable to Kestra Medical Technologies,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Undeclared preferred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of common shares outstanding, basic and diluted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51,304,599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19,885,382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Weighted-average shares of common stock outstanding, basic and diluted, has been adjusted on a retrospective basis. Refer to Note 16 “</w:t>
      </w:r>
      <w:r>
        <w:rPr>
          <w:rFonts w:ascii="Times New Roman" w:hAnsi="Times New Roman"/>
          <w:i/>
          <w:color w:val="000000"/>
          <w:sz w:val="20"/>
        </w:rPr>
        <w:t>Net Loss Per Share Attributable to Common Shareholders</w:t>
      </w:r>
      <w:r>
        <w:rPr>
          <w:rFonts w:ascii="Times New Roman" w:hAnsi="Times New Roman"/>
          <w:color w:val="000000"/>
          <w:sz w:val="20"/>
        </w:rPr>
        <w:t>” for additional disclosure.</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shareholders_equity"/>
      <w:bookmarkEnd w:id="4"/>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PREFERRED STOCK AND</w:t>
      </w:r>
    </w:p>
    <w:p>
      <w:pPr>
        <w:pStyle w:val="TextBody"/>
        <w:bidi w:val="0"/>
        <w:jc w:val="center"/>
        <w:rPr>
          <w:rFonts w:ascii="Times New Roman" w:hAnsi="Times New Roman"/>
          <w:b/>
          <w:color w:val="000000"/>
          <w:sz w:val="20"/>
        </w:rPr>
      </w:pPr>
      <w:r>
        <w:rPr>
          <w:rFonts w:ascii="Times New Roman" w:hAnsi="Times New Roman"/>
          <w:b/>
          <w:color w:val="000000"/>
          <w:sz w:val="20"/>
        </w:rPr>
        <w:t>SHAREHOLDERS’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2915" w:type="dxa"/>
        <w:jc w:val="left"/>
        <w:tblInd w:w="0" w:type="dxa"/>
        <w:tblLayout w:type="fixed"/>
        <w:tblCellMar>
          <w:top w:w="28" w:type="dxa"/>
          <w:left w:w="28" w:type="dxa"/>
          <w:bottom w:w="28" w:type="dxa"/>
          <w:right w:w="28" w:type="dxa"/>
        </w:tblCellMar>
      </w:tblPr>
      <w:tblGrid>
        <w:gridCol w:w="1411"/>
        <w:gridCol w:w="146"/>
        <w:gridCol w:w="146"/>
        <w:gridCol w:w="781"/>
        <w:gridCol w:w="146"/>
        <w:gridCol w:w="146"/>
        <w:gridCol w:w="211"/>
        <w:gridCol w:w="781"/>
        <w:gridCol w:w="146"/>
        <w:gridCol w:w="146"/>
        <w:gridCol w:w="146"/>
        <w:gridCol w:w="146"/>
        <w:gridCol w:w="1036"/>
        <w:gridCol w:w="146"/>
        <w:gridCol w:w="146"/>
        <w:gridCol w:w="211"/>
        <w:gridCol w:w="676"/>
        <w:gridCol w:w="146"/>
        <w:gridCol w:w="146"/>
        <w:gridCol w:w="213"/>
        <w:gridCol w:w="793"/>
        <w:gridCol w:w="166"/>
        <w:gridCol w:w="146"/>
        <w:gridCol w:w="243"/>
        <w:gridCol w:w="973"/>
        <w:gridCol w:w="166"/>
        <w:gridCol w:w="146"/>
        <w:gridCol w:w="346"/>
        <w:gridCol w:w="1110"/>
        <w:gridCol w:w="166"/>
        <w:gridCol w:w="146"/>
        <w:gridCol w:w="246"/>
        <w:gridCol w:w="985"/>
        <w:gridCol w:w="21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Redeemable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Shareholders’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Balances at April 30, 2024</w:t>
            </w:r>
            <w:r>
              <w:rPr>
                <w:rFonts w:ascii="Times New Roman" w:hAnsi="Times New Roman"/>
                <w:b/>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19,909,281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redeemable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stock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for payments to third party on behalf of shareholder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July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19,909,281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6"/>
        <w:gridCol w:w="146"/>
        <w:gridCol w:w="146"/>
        <w:gridCol w:w="146"/>
        <w:gridCol w:w="146"/>
        <w:gridCol w:w="146"/>
        <w:gridCol w:w="146"/>
        <w:gridCol w:w="146"/>
        <w:gridCol w:w="1036"/>
        <w:gridCol w:w="146"/>
        <w:gridCol w:w="146"/>
        <w:gridCol w:w="211"/>
        <w:gridCol w:w="676"/>
        <w:gridCol w:w="146"/>
        <w:gridCol w:w="146"/>
        <w:gridCol w:w="213"/>
        <w:gridCol w:w="793"/>
        <w:gridCol w:w="146"/>
        <w:gridCol w:w="146"/>
        <w:gridCol w:w="243"/>
        <w:gridCol w:w="973"/>
        <w:gridCol w:w="166"/>
        <w:gridCol w:w="146"/>
        <w:gridCol w:w="146"/>
        <w:gridCol w:w="146"/>
        <w:gridCol w:w="275"/>
        <w:gridCol w:w="1025"/>
        <w:gridCol w:w="212"/>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Shareholders’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51,348,656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205,406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July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51,348,656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184,159</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The number and amount of shares of common shares of Intermediate Holdings at a par value of $0.01 prior to the IPO has been retrospectively recast based on the number of Common Shares at a par value of $1.00 of Kestra Medical Technologies, Ltd. into which they were exchanged in connection with the Organizational Transactions prior to the IPO. Refer to Note 1 “</w:t>
      </w:r>
      <w:r>
        <w:rPr>
          <w:rFonts w:ascii="Times New Roman" w:hAnsi="Times New Roman"/>
          <w:i/>
          <w:color w:val="000000"/>
          <w:sz w:val="20"/>
        </w:rPr>
        <w:t>The Company</w:t>
      </w:r>
      <w:r>
        <w:rPr>
          <w:rFonts w:ascii="Times New Roman" w:hAnsi="Times New Roman"/>
          <w:color w:val="000000"/>
          <w:sz w:val="20"/>
        </w:rPr>
        <w:t>” for additional disclosure.</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statement_of_cash_flow"/>
      <w:bookmarkEnd w:id="5"/>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172"/>
        <w:gridCol w:w="746"/>
        <w:gridCol w:w="211"/>
        <w:gridCol w:w="781"/>
        <w:gridCol w:w="766"/>
        <w:gridCol w:w="746"/>
        <w:gridCol w:w="211"/>
        <w:gridCol w:w="781"/>
        <w:gridCol w:w="791"/>
      </w:tblGrid>
      <w:tr>
        <w:trPr/>
        <w:tc>
          <w:tcPr>
            <w:tcW w:w="517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Reserve for lost medical supplies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uncollectible accounts receivable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paid-in-kind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discounts and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Disposable medical equipment supplies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(26,274</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for medical rental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Refund of deposits for medical rental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redeemable preferred stock</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stock to non-controlling interest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Deemed dividend for payments to third party on behalf of shareholder</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equity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IPO offering costs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(36,381</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b/>
                <w:color w:val="000000"/>
                <w:sz w:val="20"/>
              </w:rPr>
            </w:pPr>
            <w:r>
              <w:rPr>
                <w:rFonts w:ascii="Times New Roman" w:hAnsi="Times New Roman"/>
                <w:b/>
                <w:color w:val="000000"/>
                <w:sz w:val="20"/>
              </w:rPr>
              <w:t>Cash, cash equivalents and restricted cash</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237,929</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201,548</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100,303</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reported in the condensed consolidated balance sheets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201,214</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99,969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201,548</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100,303</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 accrued liabilities and 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refunds received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bookmarkStart w:id="6" w:name="notes_to_condensed"/>
      <w:bookmarkEnd w:id="6"/>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per share data and percentages)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 The Company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Kestra Medical Technologies, Ltd. is a commercial stage medical device company, which principally generates revenue through leasing the ASSURE© System, which consists of a Wearable Cardioverter Defibrillator, to patients.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Kestra Medical Technologies, Ltd. was formed as a limited company in Bermuda on May 20, 2021 as a wholly owned subsidiary of West Affum Holdings, L.P. (“West Affum LP”), a company in the Cayman Islands. Kestra Medical Technologies, Ltd. was formed for the purpose of completing a public offering and related transactions to carry on the business of West Affum Intermediate Holdings Corp. and its subsidiaries.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West Affum Intermediate Holdings Corp., a Cayman Islands exempted company (“Intermediate Holdings”), was incorporated on August 6, 2020, in order to carry on the business of West Affum Holdings Corp. (“WAH Corp.”) and its consolidated subsidiaries. Except as otherwise indicated or the context requires, references to the “Company” are to Intermediate Holdings for transactions occurring in periods prior to the consummation of the initial public offering of Kestra Medical Technologies, Ltd., and references to the “Company” are to Kestra Medical Technologies, Ltd. and its consolidated subsidiaries for transactions occurring in periods following the consummation of the initial public offering.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and its consolidated subsidiaries own certain intellectual property related to the development of personal Wearable Cardioverter Defibrillators (“WCD”) approved by the U.S. Food and Drug Administration (“FDA”) in July of 2021.</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March 7, 2025, Kestra Medical Technologies, Ltd. completed an initial public offering of 11,882,352 common shares, par value $1.00 per share (“Common Shares”) at an offering price to the public of $17.00 per Common Share (“IPO”). On March 14, 2025, the underwriters purchased an additional 1,782,352 Common Shares at an offering price to the public of $17.00 per Common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connection with the IPO, organizational transactions were effected whereby Kestra Medical Technologies, Ltd. delivered 37,683,952 Common Shares to West Affum LP and its unitholders, including 19,885,382 Common Shares delivered to West Affum LP in exchange for West Affum LP’s contribution of its 105,808 shares of common stock, in Intermediate Holdings to Kestra Medical Technologies, Ltd., and the remainder of which Common Shares, including 32,485 Common Shares of Kestra Medical Technologies, Ltd. that are subject to vesting conditions, were delivered to holders of West Affum LP’s class A common units (the “Class A Common Units”) and equity incentive units (the “Incentive Units”), including a third-party investor in West Affum Holdings Designated Activity Company, a subsidiary of Intermediate Holdings (collectively, the “Organizational Transactions”).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Following the Organizational Transactions, pre-existing interests in Intermediate Holdings, as well as non-controlling interests of its subsidiaries, were exchanged into Common Shares. Kestra Medical Technologies, Ltd. now directly owns 100% of Intermediate Holdings and indirectly owns 100% of each of Intermediate Holdings’ direct and indirect subsidiaries.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IPO, together with the Organizational Transactions, represent a business combination between entities under common control under the principles of ASC Topic 805, </w:t>
      </w:r>
      <w:r>
        <w:rPr>
          <w:rFonts w:ascii="Times New Roman" w:hAnsi="Times New Roman"/>
          <w:i/>
          <w:color w:val="000000"/>
          <w:sz w:val="20"/>
        </w:rPr>
        <w:t>Business Combinations</w:t>
      </w:r>
      <w:r>
        <w:rPr>
          <w:rFonts w:ascii="Times New Roman" w:hAnsi="Times New Roman"/>
          <w:color w:val="000000"/>
          <w:sz w:val="20"/>
        </w:rPr>
        <w:t>. As such, the exchange of Intermediate Holdings common stock into Common Shares of Kestra Medical Technologies, Ltd. have been reflected on a retrospective basis. Other transactions that closed contemporaneously with the Organizational Transactions, including conversions of preferred stock, non-controlling interests, and equity awards were accounted for prospectively beginning on the date such transactions occurred, and were not given retrospective effect.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July 31, 2025, the Company’s principal sources of liquidity consisted of $201,214 of cash and cash equivalents.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incurred negative operating cash flows and significant losses from operations since its inception. For the three months ended July 31, 2025, and 2024, the Company incurred net losses of $25,826 and $20,323, respectively. Cash used in operating activities was $26,274 and $17,499 for the three months ended July 31, 2025, and 2024, respectively. As of July 31, 2025, the Company had an accumulated deficit of $546,075.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March 2025, the Company raised $215,789 in proceeds in the IPO after deducting underwriting discounts and commissions and before deducting IPO offering costs of $5,398.</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the Company’s current operating plan, the Company believes that its existing cash and cash equivalents will be sufficient to fund the Company’s planned operating expenses and capital expenditure requirements for at least the next 12 months from the date of issuance of these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However, the Company may experience lower than expected cash generated from operating activities or greater than expected capital expenditures, cost of revenue or operating expenses and may require additional funding to execute on its growth plans, which may include funding raised through future equity and debt financings. Management cannot predict with certainty that adequate funding will be available on acceptable terms or at all. If the Company cannot obtain sufficient funds on acceptable terms when needed, the Company may experience a material and adverse effect on its business, financial condition, results of operations and prospects.</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have been prepared in accordance with the rules and regulations of the Securities and Exchange Commission (“SEC”) and generally accepted accounting principles in the United States of America (“US GAAP”) and include the accounts of the Company and its wholly owned subsidiaries. All intercompany accounts and transactions have been eliminated in consolidation. The Company’s reporting currency is the U.S. dollar.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unaudited interim condensed consolidated balance sheet as of April 30, 2025, included herein, was derived from the audited financial statements as of that date. Certain information and disclosures normally included in the financial statements prepared in accordance with US GAAP have been condensed or omitted pursuant to such regulations. Accordingly, these unaudited interim condensed consolidated financial statements and accompanying footnotes should be read in conjunction with the Company’s financial statements as of and for the years ended April 30, 2025 and 2024. The results for the interim periods are not necessarily indicative of results for the full year.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opinion of management, all adjustments, of a normal recurring nature, considered necessary for a fair statement have been included in the unaudited interim condensed consolidated financial statements. The Company believes that the disclosures provided herein are adequate to prevent the information presented from being misleading.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prior period amounts in the unaudited interim condensed consolidated statements of cash flows have been reclassified to conform to the current period presentation.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preparation of the unaudited interim condensed consolidated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unaudited interim condensed consolidated financial statements, and the reported amounts of expenses during the reporting period. Estimates are required as part of determining the collectability of lease payments for revenue recognition, estimated useful lives of property and equipment, losses for unreturned property and equipment, share-based compensation expense, fair value of warrants and valuation allowance for deferred tax assets.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bases its estimates on historical experience and other market-specific or relevant assumptions that it believes to be reasonable under the circumstances. Actual results could differ from those estimates.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Accounts receivable and net revenues are based on contractually agreed-upon rates for leases for the ASSURE© System, reduced by contractual adjustments. Inherent in these estimates is the risk that they will have to be revised or updated as additional information becomes available. The complexity of third-party billing arrangements and laws and regulations governing Medicare may result in adjustments to amounts originally recorded.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performs a periodic analysis to review the valuation of accounts receivable and collectability of outstanding balances. These estimates are determined utilizing historical realization data under a portfolio approach which is then assessed by management to evaluate whether adjustments should be made based on accounts receivable aging trends, other operating trends, and relevant business conditions such as governmental and managed care payor claims processing procedures.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records a reserve for estimated probable losses as part of net revenue adjustments in reporting revenue at an expected collectable amount based on the total portfolio of receivables for which collectability has been deemed probable. The accounts receivable is presented on the unaudited interim condensed consolidated balance sheets net of the adjustments.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Receivables are considered past due when not collected by established due dates. Specific patient balances are written off after collection efforts have been followed and the account has been determined to be uncollectible. Changes to reserve estimate impacts are recorded as an adjustment to net revenue in the period during which changes in circumstances support a change to the estimate. The estimates of the allowance for uncollectible accounts receivable were $3,806 and $3,193 as of July 31, 2025 and April 30, 2025, respectively.</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to be cash equivalents. Cash and cash equivalents are recorded at cost, which approximates fair value. Restricted cash consists of amounts related to the Company’s office lease agreement and credit card collateralization. In lieu of a cash security deposit, the landlord required an irrevocable standby letter of credit upon execution of the lease be maintained throughout the term of the lease agreement in the amount of $109 as of July 31, 2025 and April 30, 2025. The Company also had restricted cash of $225 for credit card collateralization as of July 31, 2025 and April 30, 2025.</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generates revenue from the leases of ASSURE© System, which consists of a Wearable Cardioverter Defibrillator combined with a proprietary digital healthcare platform, to at-risk patients for a fixed amount on a month-to-month basis. The lease payments generally consist of the contracted amounts based on reimbursement arrangements with third-party payors including Medicare, Medicaid and private commercial payors, and/or certain patient co-payments. The patient has the right to cancel the lease at any time during the rental period.</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equipment leases are classified as operating leases at lease commencement, and the Company recognizes the revenue associated with ASSURE© rentals in accordance with Accounting Standards Codification Topic 842, </w:t>
      </w:r>
      <w:r>
        <w:rPr>
          <w:rFonts w:ascii="Times New Roman" w:hAnsi="Times New Roman"/>
          <w:i/>
          <w:color w:val="000000"/>
          <w:sz w:val="20"/>
        </w:rPr>
        <w:t>Leases</w:t>
      </w:r>
      <w:r>
        <w:rPr>
          <w:rFonts w:ascii="Times New Roman" w:hAnsi="Times New Roman"/>
          <w:color w:val="000000"/>
          <w:sz w:val="20"/>
        </w:rPr>
        <w:t xml:space="preserve"> (“ASC Topic 842”). The Company elected the practical expedient provided under ASC Topic 842 to combine the lease of ASSURE© System with the non-lease components, which includes the digital healthcare platform. The ASSURE© System is expected to be the predominant component and, as a result, the Company accounts for the combined revenue components under ASC Topic 842. Revenue is recognized on a straight-line basis over the contractual non-cancellable lease term, which is one month, when collectability of the lease payments is deemed to be probable. If collectability of the lease payments is not deemed to be probable, the lease income is limited to the lesser of the income that would have been recognized if collectability was probable or the lease payments collected. Collectability of all lease payments, which includes amounts reimbursed by third-party payors and/or amounts covered by the patient, is assessed for each contract upon lease commencement and is subject to subsequent reassessment throughout the lease term, as necessary.</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Due to the nature of the industry and the reimbursement environment in which the Company operates, the Company periodically evaluates the need to record a general reserve under ASC 450, </w:t>
      </w:r>
      <w:r>
        <w:rPr>
          <w:rFonts w:ascii="Times New Roman" w:hAnsi="Times New Roman"/>
          <w:i/>
          <w:color w:val="000000"/>
          <w:sz w:val="20"/>
        </w:rPr>
        <w:t xml:space="preserve">Contingencies, </w:t>
      </w:r>
      <w:r>
        <w:rPr>
          <w:rFonts w:ascii="Times New Roman" w:hAnsi="Times New Roman"/>
          <w:color w:val="000000"/>
          <w:sz w:val="20"/>
        </w:rPr>
        <w:t>for a portfolio of operating lease receivables that are probable of collection. Inherent in the reserve estimates is the risk that they will have to be revised or updated as additional information becomes available. Specifically, the complexity of many third-party billing arrangements and the uncertainty of reimbursement amounts for certain services from certain payors may result in adjustments to amounts originally recorded. Such adjustments are expected to be identified and recorded at the point of cash application or claim denial.</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a single operating and reportable segment. The Company has determined that its Chief Executive Officer is its chief operating decision maker. The Company’s Chief Executive Officer reviews financial information presented on a consolidated basis and in a consistent manner with that is included in the unaudited interim condensed consolidated statements of operations and comprehensive loss for purposes of assessing performance and making decisions on how to allocate resources. As the Company operates as one operating segment, all required segment financial information, such as revenues and significant operating expenses, is found in the accompanying unaudited interim condensed consolidated financial statements. For the periods presented, all of the Company’s long-lived assets were located in the United States, and all revenues from leasing of ASSURE© System devices to patients were earned in the United States. The accounting policies for segment reporting are the same as for the Company as a whole.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chief operating decision maker utilizes the Company’s financial information such as net loss and comprehensive loss derived from revenues and operating expenses included in the Company forecast, performance metrics, and budget versus actual analyses for purposes of evaluating financial performance and how to best allocate resources when developing and reviewing the annual budget to achieve the Company’s long-term objectives. Significant expenses within loss from operations include cost of revenue, research and development expenses, and selling, general and administrative expenses, which are each separately presented on the Company’s unaudited interim condensed consolidated statements of operations and comprehensive loss.</w:t>
      </w:r>
    </w:p>
    <w:p>
      <w:pPr>
        <w:pStyle w:val="TextBody"/>
        <w:bidi w:val="0"/>
        <w:jc w:val="left"/>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enhances transparency and decision usefulness of income tax disclosures, primarily related to the income tax rate reconciliation and income taxes paid information. The guidance is effective for public business entities for annual reporting periods beginning after December 15, 2024. The Company does not anticipate a material impact to the required financial statement disclosure as a result of this ASU.</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(“ASU 2024-03”)</w:t>
      </w:r>
      <w:r>
        <w:rPr>
          <w:rFonts w:ascii="Times New Roman" w:hAnsi="Times New Roman"/>
          <w:color w:val="000000"/>
          <w:sz w:val="20"/>
        </w:rPr>
        <w:t>, requiring disclosure in the notes to the financial statements for specified information about certain costs and expenses. ASU 2024-03 is effective for annual periods beginning after December 15, 2026, and interim periods beginning after December 15, 2027; however early adoption is permitted and can be applied either prospectively or retrospectively. The Company is evaluating the impact that this ASU will have on its financial statement disclosures.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 (“ASU 2025-05”)</w:t>
      </w:r>
      <w:r>
        <w:rPr>
          <w:rFonts w:ascii="Times New Roman" w:hAnsi="Times New Roman"/>
          <w:color w:val="000000"/>
          <w:sz w:val="20"/>
        </w:rPr>
        <w:t>, requiring election of a practical expedient when estimating expected credit losses for current accounts receivable and current contract assets. ASU 2025-05 is effective for annual reporting periods beginning after December 15, 2025, and interim reporting periods within those annual reporting periods. Early adoption is permitted in both interim and annual reporting periods. The Company is evaluating the impact that this ASU will have on its financial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reviewed other recent accounting pronouncements and concluded that they are either not applicable to the business, or that no material effect is expected on the unaudited interim condensed consolidated financial statements as a result of future adoption. No new accounting pronouncements were adopted during the three months ended July 31, 2025.</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Prepaid expenses and other current assets consisted of the following at:</w:t>
      </w:r>
    </w:p>
    <w:tbl>
      <w:tblPr>
        <w:tblW w:w="6499" w:type="dxa"/>
        <w:jc w:val="left"/>
        <w:tblInd w:w="0" w:type="dxa"/>
        <w:tblLayout w:type="fixed"/>
        <w:tblCellMar>
          <w:top w:w="28" w:type="dxa"/>
          <w:left w:w="28" w:type="dxa"/>
          <w:bottom w:w="28" w:type="dxa"/>
          <w:right w:w="28" w:type="dxa"/>
        </w:tblCellMar>
      </w:tblPr>
      <w:tblGrid>
        <w:gridCol w:w="3451"/>
        <w:gridCol w:w="336"/>
        <w:gridCol w:w="909"/>
        <w:gridCol w:w="146"/>
        <w:gridCol w:w="146"/>
        <w:gridCol w:w="356"/>
        <w:gridCol w:w="964"/>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software fees</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4. Property and Equipment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Property and equipment consisted of the following at:</w:t>
      </w:r>
    </w:p>
    <w:tbl>
      <w:tblPr>
        <w:tblW w:w="5999" w:type="dxa"/>
        <w:jc w:val="left"/>
        <w:tblInd w:w="0" w:type="dxa"/>
        <w:tblLayout w:type="fixed"/>
        <w:tblCellMar>
          <w:top w:w="28" w:type="dxa"/>
          <w:left w:w="28" w:type="dxa"/>
          <w:bottom w:w="28" w:type="dxa"/>
          <w:right w:w="28" w:type="dxa"/>
        </w:tblCellMar>
      </w:tblPr>
      <w:tblGrid>
        <w:gridCol w:w="2911"/>
        <w:gridCol w:w="277"/>
        <w:gridCol w:w="968"/>
        <w:gridCol w:w="166"/>
        <w:gridCol w:w="146"/>
        <w:gridCol w:w="294"/>
        <w:gridCol w:w="1026"/>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rental equipment</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Test equipment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 and equipment</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recorded $2,028 and $2,375 of depreciation expense for the three months ended July 31, 2025, and 2024, respectively.</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June 2021, the Company amended its office lease that began on May 1, 2020 to expand the leased space, commencing on September 1, 2021. The amendment is subject to all terms and conditions of the original office lease agreement and were set to expire in April 2024. In October 2023, the Company amended the existing office lease to expire in April 2029. The Company has the option to renew for 3 or 5 years upon expiration of the extended term at prevailing market rates.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October 2023 office lease amendment provided rent abatement from November 1, 2023 through April 30, 2024. The same amendment further provided a tenant improvement allowance of $943 to be used as rent abatement or tenant improvement reimbursement by June 2026, and $786 specifically for tenant improvement reimbursement. In August 2024, the Company amended its office lease to allow for two additional months of rent abatement and for the amount to be used specifically for tenant improvement reimbursement to be used for rent abatement or tenant improvements.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February 2025, the Company further amended its office lease to expand the leased space, commencing on April 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2025, the Company entered into a new lease agreement for its office in Texas, commencing on May 15, 2025. The lease is set to expire on May 31, 2026.</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Operating lease expense was as follows for the periods below:</w:t>
      </w:r>
    </w:p>
    <w:tbl>
      <w:tblPr>
        <w:tblW w:w="5321" w:type="dxa"/>
        <w:jc w:val="left"/>
        <w:tblInd w:w="0" w:type="dxa"/>
        <w:tblLayout w:type="fixed"/>
        <w:tblCellMar>
          <w:top w:w="28" w:type="dxa"/>
          <w:left w:w="28" w:type="dxa"/>
          <w:bottom w:w="28" w:type="dxa"/>
          <w:right w:w="28" w:type="dxa"/>
        </w:tblCellMar>
      </w:tblPr>
      <w:tblGrid>
        <w:gridCol w:w="2536"/>
        <w:gridCol w:w="352"/>
        <w:gridCol w:w="702"/>
        <w:gridCol w:w="243"/>
        <w:gridCol w:w="243"/>
        <w:gridCol w:w="352"/>
        <w:gridCol w:w="702"/>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expense</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Operating lease expense includes amortization and interest expense associated with operating lease right-of-use assets and liabilities. Variable lease expense includes payments related to taxes, insurance and maintenance costs as required by the lease.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Cash paid for operating leases was $491 and $165 for the three months ended July 31, 2025, and 2024,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weighted average remaining lease term for the Company’s operating leases was 45 months as of July 31, 2025, and 48 months as of April 30, 2025. The weighted average discount rate used to calculate the net present value of the Company’s operating lease liabilities was 15.2% as of July 31, 2025 and April 30, 2025.</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6. Accrued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Accrued liabilities consisted of the following at:</w:t>
      </w:r>
    </w:p>
    <w:tbl>
      <w:tblPr>
        <w:tblW w:w="5299" w:type="dxa"/>
        <w:jc w:val="left"/>
        <w:tblInd w:w="0" w:type="dxa"/>
        <w:tblLayout w:type="fixed"/>
        <w:tblCellMar>
          <w:top w:w="28" w:type="dxa"/>
          <w:left w:w="28" w:type="dxa"/>
          <w:bottom w:w="28" w:type="dxa"/>
          <w:right w:w="28" w:type="dxa"/>
        </w:tblCellMar>
      </w:tblPr>
      <w:tblGrid>
        <w:gridCol w:w="2251"/>
        <w:gridCol w:w="296"/>
        <w:gridCol w:w="949"/>
        <w:gridCol w:w="146"/>
        <w:gridCol w:w="146"/>
        <w:gridCol w:w="314"/>
        <w:gridCol w:w="1006"/>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Bonuses and commissions</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 time off</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payroll taxes</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7. Long-Term Debt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September 29, 2023, the Company entered into a Credit Agreement with a separate lender which provided a Senior Secured Delayed Draw Term Loan Facility (as amended, the “Term Loan 2024”) in an aggregate principal amount of up to $60.0 million which matures on September 29, 2028. Borrowings are made available in up to three tranches, the first of which is available upon closing of the agreement, which included committed equity funding of at least $75 million, and two follow on tranches of $7.5 million which become available before November 1, 2024, and February 1, 2025, and are dependent on upon achievement of revenue milestones of trailing twelve-month revenues of $50.0 million and $70.0 million, respectively. The Term Loan 2024 bears interest equal to the sum of Term Secured Overnight Financing Rate plus 7.25% for each interest period which is measured monthly and is payable on the last day of each fiscal quarter. Through March 31, 2025, the Company had the ability to pay-in-kind up to 2% of the payable interest. The Term Loan 2024 requires a minimum level of cash of $3.0 million and certain revenue thresholds based upon trailing twelve-month revenue results. The revenue covenant began to be measured on April 30,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September 29, 2023, the Company drew the initial $45.0 million. In connection with the first draw, the Company incurred a 1% facility fee of the total available loan amount of $60.0 million upon the draw of the first tranche of $600 and legal fees of $1,753 for both the Company and the lender. The Company recognized the facility fee and legal fees as a discount of $1,765 to the Term Loan 2024 for the initial draw on the loan, and $588 as an Other long-term asset, for the remainder available to draw. Each of these will be amortized as interest expense over the term of the loan on a straight-line basis.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October 31, 2024, the Company determined that the revenue milestone related to the second tranche was not met and the third tranche was not probable of being achieved. As a result, the Company expensed the asset related to debt issuance costs and facility fees in the amount of $462.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conjunction with the draw of the first tranche, West Affum LP issued a warrant to the lender to purchase up to 256,410 shares of West Affum LP’s common units at an exercise price of $17.55 per share. The fair value of the warrant was $1,632 and was recognized as a debt discount and as a capital contribution, and the debt discount is amortized over the term of the loan to interest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February 25, 2025, the Company amended the Term Loan 2024 facility to adjust the revenue milestones applicable to the debt covenants therein and amend the ability to draw additional loans under the third tranche to allow for the ability to draw an additional $15.0 million through July 31, 2026 upon the achievement of revenue of at least $60.0 million for any twelve consecutive month period prior to the third tranche borrowing date. As of July 31, 2025, the Company was in compliance with all financial covenants.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connection with the IPO, the warrant issued to the lender on September 29, 2023 was cancelled and exchanged for a new warrant to purchase up to 325,847 Common Shares of Kestra Medical Technologies, Ltd. with an exercise price of $11.54. The new warrant expires on September 29, 2033. The warrant is classified as a liability and is recorded as a discount to the Term Loan 2024. Upon the funding of additional amounts under the third tranche of Term Loan 2024, the Company will issue additional warrants to the lender equal to 10% of the amount funded.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long-term debt consisted of the following at:</w:t>
      </w:r>
    </w:p>
    <w:tbl>
      <w:tblPr>
        <w:tblW w:w="8500" w:type="dxa"/>
        <w:jc w:val="left"/>
        <w:tblInd w:w="0" w:type="dxa"/>
        <w:tblLayout w:type="fixed"/>
        <w:tblCellMar>
          <w:top w:w="28" w:type="dxa"/>
          <w:left w:w="28" w:type="dxa"/>
          <w:bottom w:w="28" w:type="dxa"/>
          <w:right w:w="28" w:type="dxa"/>
        </w:tblCellMar>
      </w:tblPr>
      <w:tblGrid>
        <w:gridCol w:w="5266"/>
        <w:gridCol w:w="146"/>
        <w:gridCol w:w="296"/>
        <w:gridCol w:w="949"/>
        <w:gridCol w:w="166"/>
        <w:gridCol w:w="146"/>
        <w:gridCol w:w="314"/>
        <w:gridCol w:w="1006"/>
        <w:gridCol w:w="21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paid-in-kind interest applied to term loan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recognized the expenses related to the Term Loan 2024 as follows:</w:t>
      </w:r>
    </w:p>
    <w:tbl>
      <w:tblPr>
        <w:tblW w:w="9262" w:type="dxa"/>
        <w:jc w:val="left"/>
        <w:tblInd w:w="0" w:type="dxa"/>
        <w:tblLayout w:type="fixed"/>
        <w:tblCellMar>
          <w:top w:w="28" w:type="dxa"/>
          <w:left w:w="28" w:type="dxa"/>
          <w:bottom w:w="28" w:type="dxa"/>
          <w:right w:w="28" w:type="dxa"/>
        </w:tblCellMar>
      </w:tblPr>
      <w:tblGrid>
        <w:gridCol w:w="6331"/>
        <w:gridCol w:w="146"/>
        <w:gridCol w:w="295"/>
        <w:gridCol w:w="798"/>
        <w:gridCol w:w="204"/>
        <w:gridCol w:w="204"/>
        <w:gridCol w:w="295"/>
        <w:gridCol w:w="798"/>
        <w:gridCol w:w="19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the facility fee and legal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the debt discount recognized in connection with the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paid-in-kind and applied to the Term Loan 2024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expense recognized related to the Term Loan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8. Fair Value Measurement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Company’s fair value hierarchy for its classified assets and liabilities measured at fair value on a recurring basis as of July 31, 2025 and April 30, 2025.</w:t>
      </w:r>
    </w:p>
    <w:tbl>
      <w:tblPr>
        <w:tblW w:w="5696" w:type="dxa"/>
        <w:jc w:val="left"/>
        <w:tblInd w:w="0" w:type="dxa"/>
        <w:tblLayout w:type="fixed"/>
        <w:tblCellMar>
          <w:top w:w="28" w:type="dxa"/>
          <w:left w:w="28" w:type="dxa"/>
          <w:bottom w:w="28" w:type="dxa"/>
          <w:right w:w="28" w:type="dxa"/>
        </w:tblCellMar>
      </w:tblPr>
      <w:tblGrid>
        <w:gridCol w:w="2266"/>
        <w:gridCol w:w="146"/>
        <w:gridCol w:w="211"/>
        <w:gridCol w:w="781"/>
        <w:gridCol w:w="146"/>
        <w:gridCol w:w="146"/>
        <w:gridCol w:w="277"/>
        <w:gridCol w:w="458"/>
        <w:gridCol w:w="146"/>
        <w:gridCol w:w="146"/>
        <w:gridCol w:w="211"/>
        <w:gridCol w:w="571"/>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July 31,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April 30,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classifies its money market funds, which are valued based on quoted market prices in active markets with no valuation adjustment, as cash and cash equivalents within the fair value hierarchy.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July 31, 2025 and April 30, 2025, the fair value of the long-term debt, net of discounts, approximated $48,240 and $47,330, respectively. The fair value of long-term debt was determined using quoted market prices, when available, or discounted cash flows based on various factors, including maturity schedules and current market rates. Long-term debt has been classified as Level 2 of the fair value hierarchy.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were no transfers into or out of the Level 1, 2 or 3 fair value hierarchies during the three months ended July 31, 2025, and 2024.</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July 31, 2025, the Company recorded warrant liabilities from issuance of warrants to the lender of the Term Loan 2024 in connection with the amendment on February 25, 2025. The warrant liabilities are based on significant inputs not observable in the market, which represent a Level 3 measurement within the fair value hierarchy. The Company’s valuation of the warrant liabilities utilized the Black-Scholes option-pricing model, which incorporates assumptions and estimates to value the warrants.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July 31, 2025, the quantitative elements associated with the Company’s Level 3 inputs impacting the fair value measurement of the warrant liabilities included the fair value per share of the underlying Common Shares, the remaining contractual term of the warrant, risk-free interest rate, expected dividend yield and expected volatility of the price of the underlying Common Shares. The expected volatility is derived from comparable public companies as the Company did not have sufficient trading history for the Company’s Common Shares. The change in fair value of warrant liability was $(2,909) for the three months ended July 31, 2025, which is included in other expense (income) within the unaudited interim condensed consolidated statements of operations and comprehensive loss.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significant inputs and assumptions used in the Black-Scholes option pricing model to determine the fair value of the warrant liabilities as of July 31, 2025 and April 30, 2025:</w:t>
      </w:r>
    </w:p>
    <w:tbl>
      <w:tblPr>
        <w:tblW w:w="5530" w:type="dxa"/>
        <w:jc w:val="left"/>
        <w:tblInd w:w="0" w:type="dxa"/>
        <w:tblLayout w:type="fixed"/>
        <w:tblCellMar>
          <w:top w:w="28" w:type="dxa"/>
          <w:left w:w="28" w:type="dxa"/>
          <w:bottom w:w="28" w:type="dxa"/>
          <w:right w:w="28" w:type="dxa"/>
        </w:tblCellMar>
      </w:tblPr>
      <w:tblGrid>
        <w:gridCol w:w="2086"/>
        <w:gridCol w:w="146"/>
        <w:gridCol w:w="336"/>
        <w:gridCol w:w="909"/>
        <w:gridCol w:w="271"/>
        <w:gridCol w:w="146"/>
        <w:gridCol w:w="356"/>
        <w:gridCol w:w="964"/>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 reconciliation of the Level 3 liabilities is as follows:</w:t>
      </w:r>
    </w:p>
    <w:tbl>
      <w:tblPr>
        <w:tblW w:w="5475" w:type="dxa"/>
        <w:jc w:val="left"/>
        <w:tblInd w:w="0" w:type="dxa"/>
        <w:tblLayout w:type="fixed"/>
        <w:tblCellMar>
          <w:top w:w="28" w:type="dxa"/>
          <w:left w:w="28" w:type="dxa"/>
          <w:bottom w:w="28" w:type="dxa"/>
          <w:right w:w="28" w:type="dxa"/>
        </w:tblCellMar>
      </w:tblPr>
      <w:tblGrid>
        <w:gridCol w:w="4276"/>
        <w:gridCol w:w="146"/>
        <w:gridCol w:w="211"/>
        <w:gridCol w:w="631"/>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Level 3 liabilities as of 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Level 3 liabilities as of July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9. Common Shares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had 100,000,000 Common Shares authorized and 51,348,656 Common Shares issued and outstanding with a par value of $1.00 as of July 31, 2025 and April 30, 2025. Each Common Share is entitled to one vote.</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10. Redeemable Preferred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2022, Intermediate Holdings amended and restated its Memorandum and Articles of Association, according to which Intermediate Holdings’ existing share capital of 5,000,000 shares can upon the discretion of Intermediate Holdings be issued in the form of either common and/or preferred stock with a par value of $0.01 each.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three months ended July 31, 2024, Intermediate Holdings issued to West Affum LP a total of 103,400 shares of preferred stock for proceeds of $103,400. Following the Organizational Transactions, pre-existing interests in Intermediate Holdings, as well as non-controlling interests of its subsidiaries, were exchanged into Common Shares. Kestra Medical Technologies, Ltd. now directly owns 100% of Intermediate Holdings and indirectly owns 100% of each of Intermediate Holdings’ subsidiaries. There were no shares of preferred stock outstanding as of July 31, 2025 and April 30,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Preferred stock issued is considered non-voting and is subject to a preferred dividend accrued daily with a set payment “yield” capped at 4.7% for issuances prior to April 30, 2023 and at 6.0% for issuances on or after May 1, 2023. No dividends were declared for the three months ended July 31, 2025 and 2024. Cumulative unpaid dividends were factored into the value of the preferred stock when exchanged for Common Shares of Kestra Medical Technologies, Ltd. in connection with the Organizational Transactions.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11. Non-Controlling Interest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July 2024, West Affum Holdings Designated Activity Company (the “DAC”), a subsidiary of the Company, received a $17,100 investment from a third party (the “Investor”) in exchange for shares. The DAC sold the Investor 171 Class A redeemable ordinary shares (“Class A Redeemable Ordinary Shares”) of the DAC at a price per share equal to $100,000 for an aggregate cash purchase price of $17,100. Concurrently with the execution and delivery of the agreement governing the Investor’s investment into DAC, Intermediate Holdings entered into an agreement with the Investor and West Affum LP wherein, at the discretion of the Investor, the DAC’s Class A Redeemable Ordinary Shares held by the Investor can be exchanged into common stock of Intermediate Holdings, and subsequently exchanged into Class A Common Units of West Affum LP. The exchange ratio is calculated based on the DAC price per share of $100,000 and the Class A Common Unit price of $14.67 as of July 2024 which allows the Investor to exchange 171 DAC Class A Redeemable Ordinary Shares into 1,165,644.17 Class A Common Units of West Affum LP.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connection with the IPO, all Class A Redeemable Ordinary Shares were exchanged for common stock of Intermediate Holdings, which common stock were exchanged for common units of West Affum LP immediately after. West Affum LP contributed all of its Intermediate Holdings common stock to Kestra Medical Technologies, Ltd. for its Common Shares.</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12. Equity Incentive Plans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Restricted Common Units and Restricted Shares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directors and advisors of the Company were granted 17,149 shares of restricted common units of West Affum LP between September 1, 2022 and October 16, 2024, with a vesting period of 3 years. As of both July 31, 2025 and April 30, 2025, 8,575 and 8,575 restricted common units were vested and unvested,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directors and advisors of the Company were granted 35,787 shares of restricted Class A Common Units of West Affum LP between July 24, 2024 and November 3, 2024, with a vesting period of 3 years. In connection with the IPO, Class A Common Units were automatically exchanged into restricted Common Shares of Kestra Medical Technologies, Ltd., subject to continued vesting under the directors’ original grant agreements. During the three months ended July 31, 2025, there were 4,331 restricted Common Shares vested. As of July 31, 2025, there were 17,325 and 28,154 shares of vested and unvested restricted Common Shares outstanding. As of April 30, 2025, there were 12,994 and 32,485 shares of vested and unvested restricted Common Shares outstanding.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Share-based compensation expense associated with restricted common units and restricted Common Shares is immaterial and recorded within selling, general and administrative expense.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Stock Option activity for the three months ended July 31, 2025 is as follows:</w:t>
      </w:r>
    </w:p>
    <w:tbl>
      <w:tblPr>
        <w:tblW w:w="10205" w:type="dxa"/>
        <w:jc w:val="left"/>
        <w:tblInd w:w="0" w:type="dxa"/>
        <w:tblLayout w:type="fixed"/>
        <w:tblCellMar>
          <w:top w:w="28" w:type="dxa"/>
          <w:left w:w="28" w:type="dxa"/>
          <w:bottom w:w="28" w:type="dxa"/>
          <w:right w:w="28" w:type="dxa"/>
        </w:tblCellMar>
      </w:tblPr>
      <w:tblGrid>
        <w:gridCol w:w="1800"/>
        <w:gridCol w:w="175"/>
        <w:gridCol w:w="1121"/>
        <w:gridCol w:w="166"/>
        <w:gridCol w:w="146"/>
        <w:gridCol w:w="443"/>
        <w:gridCol w:w="1202"/>
        <w:gridCol w:w="146"/>
        <w:gridCol w:w="146"/>
        <w:gridCol w:w="583"/>
        <w:gridCol w:w="1873"/>
        <w:gridCol w:w="146"/>
        <w:gridCol w:w="146"/>
        <w:gridCol w:w="454"/>
        <w:gridCol w:w="1463"/>
        <w:gridCol w:w="195"/>
      </w:tblGrid>
      <w:tr>
        <w:trPr/>
        <w:tc>
          <w:tcPr>
            <w:tcW w:w="18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 (in thousands)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April 30, 2025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July 31, 2025</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4,539,300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at July 31, 2025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July 31, 2025</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Also as of July 31, 2025, unrecognized compensation cost for outstanding Stock Options was $23,430, with the weighted-average period over which this cost is expected to be recognized at 1.54 years. The aggregate intrinsic value of Stock Options is calculated as the difference between the exercise price of the Stock Options and the fair value of the Company’s Common Shares for those Stock Options that had exercise prices lower than the fair value of the Company’s Common Shares.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weighted average grant date fair value of Stock Options outstanding as of July 31, 2025 was $10.20 per share.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2025 Omnibus Incentive Plan also allows for the grants of restricted shares and restricted stock units. During the three months ended July 31, 2025, the Company granted restricted stock units which vest under three methods: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Three-year service period restricted unit grants which vest one-third on each of the first, second and third anniversaries of the date of grant. The fair value of these restricted stock units is determined based upon the Company’s stock price on the date of grant and expensed over the service period.</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Performance-based restricted stock unit grants that vest after one year only if the Company has achieved curtained performance objectives as defined and approved by the Company’s Board of Directors. The fair value of the performance awards is determined based on the Company’s stock price at the date of grant and expensed over the performance period based on the probability of achieving the performance objectives. If such targets are not met or service is not rendered for the requisite service period, no compensation cost is recognized, and any recognized compensation cost in prior periods will be reversed.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Market-based restricted stock units that have combined market conditions and service conditions for vesting, for which the Company uses the Monte Carlo valuation model to value equity awards (as of the date of grant). Compensation cost is not adjusted if the market condition is not met, as long as the requisite service is provided.</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Restricted unit activity for the three months ended July 31, 2025 is as follows:</w:t>
      </w:r>
    </w:p>
    <w:tbl>
      <w:tblPr>
        <w:tblW w:w="8854" w:type="dxa"/>
        <w:jc w:val="left"/>
        <w:tblInd w:w="0" w:type="dxa"/>
        <w:tblLayout w:type="fixed"/>
        <w:tblCellMar>
          <w:top w:w="28" w:type="dxa"/>
          <w:left w:w="28" w:type="dxa"/>
          <w:bottom w:w="28" w:type="dxa"/>
          <w:right w:w="28" w:type="dxa"/>
        </w:tblCellMar>
      </w:tblPr>
      <w:tblGrid>
        <w:gridCol w:w="2626"/>
        <w:gridCol w:w="313"/>
        <w:gridCol w:w="1997"/>
        <w:gridCol w:w="146"/>
        <w:gridCol w:w="146"/>
        <w:gridCol w:w="926"/>
        <w:gridCol w:w="2509"/>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restricted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April 30, 2025</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units granted</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July 31, 2025</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1,263,384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July 31, 2025, there was $19,489 of total unrecognized compensation cost related to unvested restricted units that is expected to be recognized over a weighted-average period of approximately 2.93 years. As of July 31, 2025, none of the restricted units were vested.</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Performance-based Restricted Stock Units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July 31, 2025, the Company granted 395,589 performance-based restricted stock units that vest upon achieving curtained performance objectives. As of July 31, 2025, achievement of these performance objectives was deemed probable. The weighted average grant date fair value is $15.35.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July 31, 2025, there was $5,755 of total unrecognized compensation cost related to unvested performance-based restricted stock units that is expected to be recognized over a weighted-average period of approximately 0.75 years. As of July 31, 2025, none of the performance-based restricted stock units were vested.</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Market-based Restricted Stock Units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July 31, 2025, the Company granted 197,794 market-based restricted stock units that vest upon achieving both market conditions and service conditions.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estimated the fair value of the market-based restricted stock units granted using a Monte Carlo simulation model with the following assumptions:</w:t>
      </w:r>
    </w:p>
    <w:tbl>
      <w:tblPr>
        <w:tblW w:w="5597" w:type="dxa"/>
        <w:jc w:val="left"/>
        <w:tblInd w:w="0" w:type="dxa"/>
        <w:tblLayout w:type="fixed"/>
        <w:tblCellMar>
          <w:top w:w="28" w:type="dxa"/>
          <w:left w:w="28" w:type="dxa"/>
          <w:bottom w:w="28" w:type="dxa"/>
          <w:right w:w="28" w:type="dxa"/>
        </w:tblCellMar>
      </w:tblPr>
      <w:tblGrid>
        <w:gridCol w:w="4036"/>
        <w:gridCol w:w="336"/>
        <w:gridCol w:w="909"/>
        <w:gridCol w:w="316"/>
      </w:tblGrid>
      <w:tr>
        <w:trPr/>
        <w:tc>
          <w:tcPr>
            <w:tcW w:w="40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underlying common stock</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grant-date fair value per share</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July 31, 2025, there was $3,645 of total unrecognized compensation cost related to unvested market-based restricted stock units that is expected to be recognized over a weighted-average period of approximately 1.96 years. As of July 31, 2025, none of the market-based restricted stock units were vested.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recorded share-based compensation in the following expense categories of its unaudited interim condensed consolidated statements of operations and comprehensive loss:</w:t>
      </w:r>
    </w:p>
    <w:tbl>
      <w:tblPr>
        <w:tblW w:w="6221" w:type="dxa"/>
        <w:jc w:val="left"/>
        <w:tblInd w:w="0" w:type="dxa"/>
        <w:tblLayout w:type="fixed"/>
        <w:tblCellMar>
          <w:top w:w="28" w:type="dxa"/>
          <w:left w:w="28" w:type="dxa"/>
          <w:bottom w:w="28" w:type="dxa"/>
          <w:right w:w="28" w:type="dxa"/>
        </w:tblCellMar>
      </w:tblPr>
      <w:tblGrid>
        <w:gridCol w:w="3436"/>
        <w:gridCol w:w="321"/>
        <w:gridCol w:w="868"/>
        <w:gridCol w:w="222"/>
        <w:gridCol w:w="222"/>
        <w:gridCol w:w="321"/>
        <w:gridCol w:w="640"/>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13. Income Taxes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details of the provision for income taxes and effective tax rates:</w:t>
      </w:r>
    </w:p>
    <w:tbl>
      <w:tblPr>
        <w:tblW w:w="5192" w:type="dxa"/>
        <w:jc w:val="left"/>
        <w:tblInd w:w="0" w:type="dxa"/>
        <w:tblLayout w:type="fixed"/>
        <w:tblCellMar>
          <w:top w:w="28" w:type="dxa"/>
          <w:left w:w="28" w:type="dxa"/>
          <w:bottom w:w="28" w:type="dxa"/>
          <w:right w:w="28" w:type="dxa"/>
        </w:tblCellMar>
      </w:tblPr>
      <w:tblGrid>
        <w:gridCol w:w="2281"/>
        <w:gridCol w:w="309"/>
        <w:gridCol w:w="683"/>
        <w:gridCol w:w="397"/>
        <w:gridCol w:w="214"/>
        <w:gridCol w:w="309"/>
        <w:gridCol w:w="683"/>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sz w:val="20"/>
        </w:rPr>
      </w:pPr>
      <w:r>
        <w:rPr>
          <w:rFonts w:ascii="Times New Roman" w:hAnsi="Times New Roman"/>
          <w:color w:val="000000"/>
          <w:sz w:val="20"/>
        </w:rPr>
        <w:t xml:space="preserve">The Company is based in Bermuda and is a resident of Ireland for tax purposes. The Company has subsidiaries in the Cayman Islands, Ireland and the U.S. Under the current laws of Bermuda and the Cayman Islands, the Company is not subject to tax on income. However, the Company and its subsidiaries are subject to taxation in Ireland, the U.S. federal government, and various states. The Company accounts for the provision for income taxes in accordance with ASC 740, </w:t>
      </w:r>
      <w:r>
        <w:rPr>
          <w:rFonts w:ascii="Times New Roman" w:hAnsi="Times New Roman"/>
          <w:i/>
          <w:color w:val="000000"/>
          <w:sz w:val="20"/>
        </w:rPr>
        <w:t>Income Taxes</w:t>
      </w:r>
      <w:r>
        <w:rPr>
          <w:rFonts w:ascii="Times New Roman" w:hAnsi="Times New Roman"/>
          <w:color w:val="000000"/>
          <w:sz w:val="20"/>
        </w:rPr>
        <w:t>, which requires an estimate of the annual effective tax rate for the full year to be applied to the interim period, taking into account year-to-date amounts and projected results for the full year.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effective tax rate varies from the statutory Irish tax rate due to the effect of state income taxes and research and development credits. The Company’s effective tax rate could fluctuate from quarter to quarter based on variations in the estimated and actual level of pre-tax income or loss by jurisdiction, changes in enacted tax laws and regulations, and changes in estimates regarding the realizability of deferred tax assets. As of July 31, 2025 and April 30, 2025, the Company provided a full valuation allowance against its net deferred tax assets that we believe, based on the weight of available evidence, are not more likely than not to be realized.</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14. Commitments and Contingencies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the Company may become involved in litigation relating to claims arising from the ordinary course of business. The Company considers the likelihood of loss or impairment of an asset, or the incurrence of a liability, as well as the ability to reasonably estimate the amount of loss, in determining loss contingencies. An estimated loss contingency is accrued when information available prior to issuance of the unaudited interim condensed consolidated financial statements indicates that it is probable that an asset has been impaired or a liability has been incurred at the date of the unaudited interim condensed consolidated financial statements, and the amount or range of loss can be reasonably estimated. Legal costs are expensed as incurred. Gain contingencies are not recognized until they are realized or realizable.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there is no accrual of such amounts as of July 31, 2025 and April 30, 2025. The Company is unable to determine the maximum potential impact of these indemnifications on the future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Management believes that there are currently no other claims or actions pending against the Company where the ultimate disposition could have a material effect on the Company’s results of operations, financial condition or cash flows.</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15. Defined Contribution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sponsors a defined contribution retirement savings plan under Section 401(k) of the Internal Revenue Code of 1986, as amended (the “401(k) Plan”), for its full-time employees, which covers all eligible employees in the United States. The 401(k) Plan provides for matching and discretionary contributions by the Company. For the three months ended July 31, 2025, and 2024, matching and discretionary contributions by the Company totaled $548 and $428, respectively.</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16. Net Loss Per Share Attributable to Common Shareholders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Organizational Transactions represent a business combination between entities under common control under the principles of ASC Topic 805, </w:t>
      </w:r>
      <w:r>
        <w:rPr>
          <w:rFonts w:ascii="Times New Roman" w:hAnsi="Times New Roman"/>
          <w:i/>
          <w:color w:val="000000"/>
          <w:sz w:val="20"/>
        </w:rPr>
        <w:t>Business Combinations</w:t>
      </w:r>
      <w:r>
        <w:rPr>
          <w:rFonts w:ascii="Times New Roman" w:hAnsi="Times New Roman"/>
          <w:color w:val="000000"/>
          <w:sz w:val="20"/>
        </w:rPr>
        <w:t xml:space="preserve">. In connection with the Organizational Transactions, West Affum LP contributed its 105,808 shares of common stock in Intermediate Holdings for 19,885,382 Common Shares of Kestra Medical Technologies, Ltd. (“Exchange”). Under the principles of ASC 260, </w:t>
      </w:r>
      <w:r>
        <w:rPr>
          <w:rFonts w:ascii="Times New Roman" w:hAnsi="Times New Roman"/>
          <w:i/>
          <w:color w:val="000000"/>
          <w:sz w:val="20"/>
        </w:rPr>
        <w:t>Earnings Per Share</w:t>
      </w:r>
      <w:r>
        <w:rPr>
          <w:rFonts w:ascii="Times New Roman" w:hAnsi="Times New Roman"/>
          <w:color w:val="000000"/>
          <w:sz w:val="20"/>
        </w:rPr>
        <w:t xml:space="preserve">, the Exchange was applied retrospectively for purposes of calculating basic and diluted net loss per share. Other transactions that closed contemporaneously with the Organizational Transactions, including conversions of preferred stock, non-controlling interests, and equity awards were accounted for prospectively beginning on the date such transactions occurred, and were not given retrospective treatment as they changed the relative subordination characteristics of the securities owned by the respective holders after the effective date of the Organizational Transactions. Similarly, the shares issued upon the IPO and exercise of the underwriters’ overallotment option were accounted for prospectively beginning on the date such shares were issued and were not given retrospective treatment. The total number of outstanding shares disclosed on the face of the unaudited interim condensed consolidated balance sheets and unaudited interim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condensed consolidated statements of changes in redeemable preferred stock and shareholders’ equity (deficit) represents the number of shares legally outstanding as of the latest unaudited interim condensed consolidated balance sheet date. This differs from the number of outstanding shares disclosed for basic and diluted net loss per share, which has been retrospectively adjusted for common shares outstanding but not yet vested.</w:t>
      </w:r>
    </w:p>
    <w:p>
      <w:pPr>
        <w:pStyle w:val="TextBody"/>
        <w:bidi w:val="0"/>
        <w:jc w:val="left"/>
        <w:rPr>
          <w:rFonts w:ascii="Times New Roman" w:hAnsi="Times New Roman"/>
          <w:color w:val="000000"/>
          <w:sz w:val="20"/>
        </w:rPr>
      </w:pPr>
      <w:r>
        <w:rPr>
          <w:rFonts w:ascii="Times New Roman" w:hAnsi="Times New Roman"/>
          <w:color w:val="000000"/>
          <w:sz w:val="20"/>
        </w:rPr>
        <w:t>Basic net loss per share attributable to common shareholders is calculated by dividing net loss by the weighted average number of Common Shares outstanding during the period and excludes any dilutive effects of employee share-based awards and warrants to purchase Common Shares. Diluted net loss per share attributable to common shareholders is computed giving effect to all potentially dilutive common shares, including common shares issuable upon vesting of share-based payment awards and/or upon exercise of the warrants. For the three months ended July 31, 2025 or 2024, the Company did not have any dilutive shares. For both periods presented, there is no difference in the number of shares used to compute basic and diluted shares outstanding due to the Company’s net loss position.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shareholders for the three months ended July 31, 2025 and 2024:</w:t>
      </w:r>
    </w:p>
    <w:tbl>
      <w:tblPr>
        <w:tblW w:w="8233" w:type="dxa"/>
        <w:jc w:val="left"/>
        <w:tblInd w:w="0" w:type="dxa"/>
        <w:tblLayout w:type="fixed"/>
        <w:tblCellMar>
          <w:top w:w="28" w:type="dxa"/>
          <w:left w:w="28" w:type="dxa"/>
          <w:bottom w:w="28" w:type="dxa"/>
          <w:right w:w="28" w:type="dxa"/>
        </w:tblCellMar>
      </w:tblPr>
      <w:tblGrid>
        <w:gridCol w:w="5016"/>
        <w:gridCol w:w="211"/>
        <w:gridCol w:w="1036"/>
        <w:gridCol w:w="166"/>
        <w:gridCol w:w="146"/>
        <w:gridCol w:w="211"/>
        <w:gridCol w:w="1036"/>
        <w:gridCol w:w="411"/>
      </w:tblGrid>
      <w:tr>
        <w:trPr/>
        <w:tc>
          <w:tcPr>
            <w:tcW w:w="5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Kestra Medical Technologies, Ltd.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Undeclared preferred dividends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shareholders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of common share outstanding</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xml:space="preserve">– </w:t>
            </w:r>
            <w:r>
              <w:rPr>
                <w:rFonts w:ascii="Times New Roman" w:hAnsi="Times New Roman"/>
                <w:color w:val="000000"/>
                <w:sz w:val="20"/>
              </w:rPr>
              <w:t>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51,304,599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19,885,382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shareholders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xml:space="preserve">– </w:t>
            </w:r>
            <w:r>
              <w:rPr>
                <w:rFonts w:ascii="Times New Roman" w:hAnsi="Times New Roman"/>
                <w:color w:val="000000"/>
                <w:sz w:val="20"/>
              </w:rPr>
              <w:t>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potentially dilutive securities outstanding have been excluded from the computations of weighted-average shares outstanding because such securities have an antidilutive impact due to losses reported (in common stock equivalent shares):</w:t>
      </w:r>
    </w:p>
    <w:tbl>
      <w:tblPr>
        <w:tblW w:w="6158" w:type="dxa"/>
        <w:jc w:val="left"/>
        <w:tblInd w:w="0" w:type="dxa"/>
        <w:tblLayout w:type="fixed"/>
        <w:tblCellMar>
          <w:top w:w="28" w:type="dxa"/>
          <w:left w:w="28" w:type="dxa"/>
          <w:bottom w:w="28" w:type="dxa"/>
          <w:right w:w="28" w:type="dxa"/>
        </w:tblCellMar>
      </w:tblPr>
      <w:tblGrid>
        <w:gridCol w:w="3376"/>
        <w:gridCol w:w="172"/>
        <w:gridCol w:w="1103"/>
        <w:gridCol w:w="172"/>
        <w:gridCol w:w="172"/>
        <w:gridCol w:w="172"/>
        <w:gridCol w:w="800"/>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4,539,300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Shares</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units</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395,589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Market-based restricted stock units</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395,588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7,068,880</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17. Subsequent Events</w:t>
      </w:r>
    </w:p>
    <w:p>
      <w:pPr>
        <w:pStyle w:val="TextBody"/>
        <w:bidi w:val="0"/>
        <w:spacing w:before="0" w:after="120"/>
        <w:jc w:val="left"/>
        <w:rPr>
          <w:rFonts w:ascii="Times New Roman" w:hAnsi="Times New Roman"/>
          <w:sz w:val="20"/>
        </w:rPr>
      </w:pPr>
      <w:r>
        <w:rPr>
          <w:rFonts w:ascii="Times New Roman" w:hAnsi="Times New Roman"/>
          <w:color w:val="000000"/>
          <w:sz w:val="20"/>
        </w:rPr>
        <w:t>On September 4, 2025, Perceptive Credit Holdings IV, LP exercised their warrant to purchase Common Shares on a cashless basis, resulting in the issuance of 100,397 Common Shares to them at an exercise price of $11.54 as described in Note 7 “</w:t>
      </w:r>
      <w:r>
        <w:rPr>
          <w:rFonts w:ascii="Times New Roman" w:hAnsi="Times New Roman"/>
          <w:i/>
          <w:color w:val="000000"/>
          <w:sz w:val="20"/>
        </w:rPr>
        <w:t>Long-Term Debt</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7" w:name="item_2_managements_discussion"/>
      <w:bookmarkEnd w:id="7"/>
      <w:r>
        <w:rPr>
          <w:rFonts w:ascii="Times New Roman" w:hAnsi="Times New Roman"/>
          <w:b/>
          <w:color w:val="000000"/>
          <w:sz w:val="20"/>
        </w:rPr>
        <w:t>Item 2. Management’s Discussion and Analysis of Financial Condition and Results of Operations.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This Management’s Discussion and Analysis of Financial Condition and Results of Operation should be read in conjunction with our unaudited interim condensed consolidated financial statements and the related notes to those statements included in this Quarterly Report and our audited consolidated financial statements and the related notes and the discussion under the heading “Management’s Discussion and Analysis of Financial Condition and Results of Operations” for the fiscal years ended April 30, 2025 and 2024 included in our Annual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entitled “Special Note Regarding Forward-Looking Statements” and Part II, Item 1A, ““Risk Factors” included in this Quarterly Report and in the sections entitled “Risk Factors” and “Special Note Regarding Forward-Looking Statements” in our Annual Report.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 commercial-stage, wearable medical device and digital healthcare company focused on transforming patient outcomes in cardiovascular disease using monitoring and therapeutic intervention technologies that are intuitive, intelligent, and connected.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a next generation WCD used to protect patients at an elevated risk of SCA. The ASSURE WCD automatically monitors elevated risk patients and, if needed, delivers a defibrillation shock to return the patient’s heart to normal rhythm. We believe the ASSURE WCD offers significant clinical and functional advantages, including greater patient compliance as a result of a major reduction in false alarms, enhanced comfort and improved wearability. In addition to the ASSURE WCD, our Cardiac Recovery System platform includes a comprehensive suite of fully integrated digital solutions and services that enable enhanced patient and provider engagement and oversight, with the objective of improving patient outcomes. We believe our Cardiac Recovery System platform has the potential to disrupt the large existing market and grow the underpenetrated addressable market.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been issued a Medicare Provider Number by the CMS, which enables us to bill Medicare for reimbursement for our ASSURE WCD as an accredited supplier to the extent the claim meets Medicare medical necessity and coverage requirements. We derive nearly all our revenue from the direct billing of various third-party payors, including Medicare, Medicaid, private payors and other healthcare-related organizations, for the lease of our ASSURE WCD to patients. We also bill patients for co-insurance payments and deductibles. As WCD therapy has existed for over 20 years in the United States, reimbursement codes are well-established, and WCDs are covered by Medicare, Medicaid and many private payors.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outsource the manufacturing of our ASSURE WCD and all of its components to third-party suppliers, including contract manufacturers that manufacture garments, chargers, monitors, batteries, cables and various accessories for our ASSURE WCD. We believe that our contract manufacturing partners are recognized in their field for their competency to manufacture the respective components of our ASSURE WCD and have established quality systems that meet FDA requirements. We believe the manufacturers we currently utilize have sufficient capacity to meet our expansion requirements and can scale up their capacity to meet anticipated demand for our product for the foreseeable future.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Since our inception, we have devoted substantially all of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fiscal year ends on April 30 of each year. We incurred net losses of $25.8 million and $20.3 million for the three months ended July 31, 2025 and 2024, respectively. For the three months ended July 31, 2025, we generated revenue of $19.4 million, with a gross profit of $8.9 million, compared to revenue of $12.8 million, with a gross profit of $4.2 million, for the three months ended July 31, 2024. As of July 31, 2025, we had cash and cash equivalents balances of $201.5 million, and an accumulated deficit of $546.1 million.</w:t>
      </w:r>
    </w:p>
    <w:p>
      <w:pPr>
        <w:pStyle w:val="TextBody"/>
        <w:bidi w:val="0"/>
        <w:spacing w:before="0" w:after="240"/>
        <w:jc w:val="left"/>
        <w:rPr>
          <w:rFonts w:ascii="Times New Roman" w:hAnsi="Times New Roman"/>
          <w:sz w:val="20"/>
        </w:rPr>
      </w:pPr>
      <w:r>
        <w:rPr>
          <w:rFonts w:ascii="Times New Roman" w:hAnsi="Times New Roman"/>
          <w:color w:val="000000"/>
          <w:sz w:val="20"/>
        </w:rPr>
        <w:t>From our inception to the consummation of the IPO, our operations were primarily funded by proceeds from capital contributions made by West Affum Holdings, L.P., our direct parent prior to the Organizational Transactions (as defined in Note 1, “</w:t>
      </w:r>
      <w:r>
        <w:rPr>
          <w:rFonts w:ascii="Times New Roman" w:hAnsi="Times New Roman"/>
          <w:i/>
          <w:color w:val="000000"/>
          <w:sz w:val="20"/>
        </w:rPr>
        <w:t>The Company</w:t>
      </w:r>
      <w:r>
        <w:rPr>
          <w:rFonts w:ascii="Times New Roman" w:hAnsi="Times New Roman"/>
          <w:color w:val="000000"/>
          <w:sz w:val="20"/>
        </w:rPr>
        <w:t>,” to our unaudited interim condensed consolidated financial statements and related notes included elsewhere in this Quarterly Report), in the form of common stock and redeemable preferred stock, and borrowings under our Term Loan 2024 (as defined below). For more information, see “—Liquidity and Capital Resources—Sources of Liquidity”.</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the IPO, we issued and sold an aggregate of 13,664,704 common shares at an offering price to the public of $17.00 per share for net proceeds of $215.8 million, after deducting underwriting discounts and commissions, which includes the net proceeds from the underwriters’ exercise in full of the over-allotment option. The Organizational Transactions and IPO were completed on March 7, 2025 and the proceeds from the shares sold pursuant to the underwriters’ over-allotment option were received on March 14,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invested heavily in developing and commercializing our Cardiac Recovery System platform. We have also made significant investments in clinical studies to demonstrate the safety and effectiveness of our ASSURE WCD and to support applications for regulatory approvals. We have made and will continue to make significant investments to build our sales and marketing organization, and we intend to continue to increase the size of our commercial team to market our product in the United States. Based on our current operating plan, we believe that our existing cash and cash equivalents and cash generated from revenue transactions with customers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Adequate funding may not be available to us on acceptable terms or at all. Our failure to obtain sufficient funds on acceptable terms when needed could have a material and adverse effect on our business, financial condition, results of operations and prospects.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Key Factors Affecting Our Results of Operations and Performance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Factors that have impacted, and that we expect will continue to impact, our operating performance and results of operations include:</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i/>
          <w:color w:val="000000"/>
          <w:sz w:val="20"/>
        </w:rPr>
        <w:t>Commercial Organization</w:t>
      </w:r>
      <w:r>
        <w:rPr>
          <w:rFonts w:ascii="Times New Roman" w:hAnsi="Times New Roman"/>
          <w:color w:val="000000"/>
          <w:sz w:val="20"/>
        </w:rPr>
        <w:t>. We have made and continue to make significant investments in recruiting, training and retaining our direct sales force and supporting commercial infrastructure. Successfully recruiting and training additional commercial team members is required to achieve growth. We have in the past and expect in the future to enter into compensation arrangements with our commercial team that may include minimum guaranteed commissions.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i/>
          <w:color w:val="000000"/>
          <w:sz w:val="20"/>
        </w:rPr>
        <w:t>Gross Profit</w:t>
      </w:r>
      <w:r>
        <w:rPr>
          <w:rFonts w:ascii="Times New Roman" w:hAnsi="Times New Roman"/>
          <w:color w:val="000000"/>
          <w:sz w:val="20"/>
        </w:rPr>
        <w:t>. Our results of operations will depend, in part, on our ability to increase our gross profit by more effectively managing our costs to build and deliver our ASSURE WCD and obtaining higher reimbursement realization due to improved market access and shifts in patient mix towards patients with longer wear duration. We expect supply chain efficiencies to result from higher volume purchases of components, and continued manufacturing process improvements.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i/>
          <w:color w:val="000000"/>
          <w:sz w:val="20"/>
        </w:rPr>
        <w:t>Payor Coverage and Revenue Cycle Management</w:t>
      </w:r>
      <w:r>
        <w:rPr>
          <w:rFonts w:ascii="Times New Roman" w:hAnsi="Times New Roman"/>
          <w:color w:val="000000"/>
          <w:sz w:val="20"/>
        </w:rPr>
        <w:t>. Healthcare providers in the United States generally rely on third-party payors, principally Medicare, Medicaid and private payors, to cover and reimburse all or part of the cost of our product. The revenue we can generate from the lease of our ASSURE WCD depends in large part on the availability of reimbursement from such payors. A significant component of our operational efforts includes working with private payors to ensure positive coverage decisions for our product and investing in our revenue cycle management infrastructure to collect cash from payors.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i/>
          <w:color w:val="000000"/>
          <w:sz w:val="20"/>
        </w:rPr>
        <w:t>Seasonality</w:t>
      </w:r>
      <w:r>
        <w:rPr>
          <w:rFonts w:ascii="Times New Roman" w:hAnsi="Times New Roman"/>
          <w:color w:val="000000"/>
          <w:sz w:val="20"/>
        </w:rPr>
        <w:t>. Our billings and collections efforts during January and February tend to be lower because of resetting annual patient healthcare insurance plan deductibles. In addition, as our business grows in the United States and any international markets we may enter into in the future, we may experience seasonality based on holidays, vacations and other factors.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Key Components of Our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discussion describes certain key components of our consolidated statement of operations.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received FDA approval for the commercialization of our ASSURE WCD on July 27, 2021 and fully commercially launched our ASSURE WCD in August 2022. We generate revenue by leasing our ASSURE WCD to patients for a fixed amount on a month-to-month basis. The lease payments generally consist of the contracted amounts based on reimbursement arrangements with third-party payors, comprising Medicare, Medicaid, private payors and other healthcare-related organizations, and patient payments. The patient has the right to cancel the lease at any time during the lease period. We recognize lease revenue over the term of the lease when collectability is probable. If collectability of the lease payments is not deemed to be probable, the lease revenue is limited to the lesser of the income that would have been recognized if collectability was probable or the lease payments collected. If the lease payments are not deemed to be probable at inception, lease revenue is recognized when cash payments are received. We expect that our revenue will continue to increase as the number of patients that use our product increases.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240"/>
        <w:jc w:val="left"/>
        <w:rPr>
          <w:rFonts w:ascii="Times New Roman" w:hAnsi="Times New Roman"/>
          <w:sz w:val="20"/>
        </w:rPr>
      </w:pPr>
      <w:r>
        <w:rPr>
          <w:rFonts w:ascii="Times New Roman" w:hAnsi="Times New Roman"/>
          <w:color w:val="000000"/>
          <w:sz w:val="20"/>
        </w:rPr>
        <w:t>Cost of revenue consist of direct material, labor and indirect costs related to the lease performance of our ASSURE WCD such as the cost of disposable WCD device components, depreciation expense of reusable medical rental equipment components, shipping and order fulfillment costs, as well as other indirect costs incurred to support the manufacture and medical rental equipment delivery to and ongoing support for the patient incurred in connection with providing our ASSURE WCD to patients. Overall expenditures for disposable components and reprocessing costs will increase as the number of patients receiving our ASSURE WCD increases and to a lesser extent, depreciation expense will increase as additional reusable ASSURE WCD components are purchased. However, depreciation expense as a percentage of cost of revenue is expected to decrease in the long run through economies of scale as we continue to grow our business. For additional information on how depreciation impacts our financial results, see Note 2, “</w:t>
      </w:r>
      <w:r>
        <w:rPr>
          <w:rFonts w:ascii="Times New Roman" w:hAnsi="Times New Roman"/>
          <w:i/>
          <w:color w:val="000000"/>
          <w:sz w:val="20"/>
        </w:rPr>
        <w:t>Significant Accounting Policies</w:t>
      </w:r>
      <w:r>
        <w:rPr>
          <w:rFonts w:ascii="Times New Roman" w:hAnsi="Times New Roman"/>
          <w:color w:val="000000"/>
          <w:sz w:val="20"/>
        </w:rPr>
        <w:t>” to our unaudited interim condensed consolidated financial statements included elsewhere in this Quarterly Report.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calculate gross profit as revenue less cost of revenue. We expect our gross profit to increase as reimbursement realization increases due to improved market access and shifts in patient mix towards patients with longer wear duration, as well as supply chain efficiencies from higher volume purchases of components and manufacturing process improvements. In addition, as the number of patients we serve continues to increase, we expect the cost of fitting per patient to continue to decrease. However, gross profit may be negatively impacted by a number of factors, including increases in prices of materials and electronics components, labor rates, shipping rates, and inflation.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Research and development expenses consist of personnel expenses, including salaries, benefits and share-based compensation expense for product development personnel, prototype materials and other expenses related to the development of new products. We expense research and development expenses as they are incurred, although advanced payments that we make for goods or services to be received in the future for use in research and development activities are recorded as prepaid expenses and expensed as the related goods are delivered or the services are performed.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our research and development expenses to decrease as a percentage of revenue for the foreseeable future as our revenue increases. We will continue to invest in research and development activities related to developing new products and services, further enhancing our products and services through introducing new extensions and enhancements, conducting clinical trials as necessary and preparing any new products and services for commercialization.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Selling expenses consist primarily of personnel expenses, including salaries, commissions, bonuses, benefits, travel, and share-based compensation expense for sales, marketing and field clinical personnel, as well as investments in marketing initiatives to increase market awareness of our technology, including expenses related to travel, conferences, trade shows and consulting services.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General and administrative expenses consist primarily of personnel expenses, including salaries, benefits and share-based compensation expense for personnel in executive, finance, accounting, commercial operations, distribution costs, revenue cycle management, legal, human resources, IT and administrative functions. General and administrative expenses also include direct or allocated expenses for rent and maintenance of facilities and insurance, not otherwise included in research and development expenses, selling expenses, or cost of revenue, as well as professional fees for legal, patent and consulting services. We expect expenses related to revenue cycle management to increase at higher rates than other types of general and administrative expenses as this function will continue to grow as the volume increases.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that our overall selling,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These expenses may further increase when we no longer qualify as an “emerging growth company” under the JOBS Act, which will require us to comply with certain reporting requirements from which we are currently exempt. However, we expect overall general and administrative expenses to decrease as a percentage of revenue primarily as, and to the extent, our revenue grows.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Interest and Other Expense (Income)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and other expense (income) consists of cash and non-cash components. The cash component of interest expense (income) is attributable to borrowings under our term loan as well as interest received from various interest-bearing bank accounts. The non-cash component consists of interest expense recognized from the amortization of debt discounts, debt issuance costs and warrant fair value adjustments.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date, we have recorded a limited amount of United States federal and state income state expense. 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carryback opportunities and tax planning strategies in making the assessment. We believe it is more likely than not that we will not realize the benefits of these deductible differences and have applied a full valuation allowance against them.</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Results of Operations for the Three Months Ended July 31, 2025 and 2024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tables set forth our results of operations for the three months ended July 31, 2025 and 2024. We have derived the data for the three months ended July 31, 2025 and 2024 from our unaudited interim condensed consolidated financial statements included elsewhere in this Quarterly Report. This information should be read in conjunction with our unaudited interim condensed consolidated financial statements and related notes included elsewhere in this Quarterly Report. The results for historical periods are not necessarily indicative of the results of operations for any future period, and our interim results are not necessarily indicative of the results to be expected for the full year.</w:t>
      </w:r>
    </w:p>
    <w:tbl>
      <w:tblPr>
        <w:tblW w:w="10205" w:type="dxa"/>
        <w:jc w:val="left"/>
        <w:tblInd w:w="0" w:type="dxa"/>
        <w:tblLayout w:type="fixed"/>
        <w:tblCellMar>
          <w:top w:w="28" w:type="dxa"/>
          <w:left w:w="28" w:type="dxa"/>
          <w:bottom w:w="28" w:type="dxa"/>
          <w:right w:w="28" w:type="dxa"/>
        </w:tblCellMar>
      </w:tblPr>
      <w:tblGrid>
        <w:gridCol w:w="4554"/>
        <w:gridCol w:w="146"/>
        <w:gridCol w:w="232"/>
        <w:gridCol w:w="809"/>
        <w:gridCol w:w="182"/>
        <w:gridCol w:w="160"/>
        <w:gridCol w:w="232"/>
        <w:gridCol w:w="809"/>
        <w:gridCol w:w="166"/>
        <w:gridCol w:w="146"/>
        <w:gridCol w:w="211"/>
        <w:gridCol w:w="736"/>
        <w:gridCol w:w="166"/>
        <w:gridCol w:w="146"/>
        <w:gridCol w:w="230"/>
        <w:gridCol w:w="761"/>
        <w:gridCol w:w="519"/>
      </w:tblGrid>
      <w:tr>
        <w:trPr/>
        <w:tc>
          <w:tcPr>
            <w:tcW w:w="4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4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33,728</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(28,878</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 attributable to Kestra Medical Technologies,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Undeclared preferred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NM = Percentage not meaningful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Comparison of the Three Months Ended July 31, 2025 and 2024</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Revenue for the three months ended July 31, 2025 increased by $6.6 million, or 52%, compared to the three months ended July 31, 2024. Revenue growth was primarily driven by an increase in the number of patients using our products while reimbursement rates remained largely flat. There was a 54% increase in the number of patients using our products and a 55% increase in the size of our revenue cycle management team to improve collection efforts.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 of revenue for the three months ended July 31, 2025 increased by $1.9 million, or 23%, compared to the three months ended July 31, 2024. The increase in cost of revenue was primarily driven by a $1.8 million increase in the cost of disposable medical equipment supplies and equipment reconditioning, which were directly attributable to an increase in the number of patients using our product, a $0.5 million increase in reserve for lost or damaged equipment, a $0.2 million increase in depreciation expense due to an increased number of monitor units, a $0.1 million increase in inbound freight due to an increase in returns, and a $0.1 million increase in standard kits costs, partially offset by a $0.6 million decrease in depreciation expense from increased useful lives of our components and a $0.2 million decrease in other supplier costs.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Gross profit for the three months ended July 31, 2025 increased by $4.7 million, or 111%, compared to the three months ended July 31, 2024. The increase in gross profit was primarily due to growth in both our total revenue, which was driven by the increased number of patients using our product and improved collection efforts driven by further increases in the size of our revenue cycle management team. The increase in gross profit was also driven by a decrease in cost of revenues per patient by 21% for the three months ended July 31, 2025 compared to the three months ended July 31, 2024, due to further improvements in the utilization of our rental pool of medical equipment and lower disposable costs driven by volume and implementation of manufacturing cost improvement programs, and longer useful lives of our medical rental equipment components.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Research and development costs for the three months ended July 31, 2025 increased by $0.6 million, or 18%, compared to the three months ended July 31, 2024. The increase was primarily driven by an increase in contractor costs.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Selling, general and administrative expenses for the three months ended July 31, 2025 increased by $14.5 million, or 75%, compared to the three months ended July 31, 2024. The increase was primarily driven by a $9.3 million increase in personnel expenses such as salaries, benefits and share-based compensation, resulting from an increase in headcount to support commercial growth, a $2.0 million increase in legal, accounting, and professional service fees related to our transition to a public company, a $1.7 million increase in commercial support costs including contractors and external recruitment costs, a $0.7 million increase in travel and entertainment expenses due to an increase in headcount, a $0.4 million increase related to shipping and logistics costs, and a $0.4 million increase related to increased software licensing fees driven by increased headcount.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Interest and Other Expense (Income)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expense for the three months ended July 31, 2025 remained largely flat compared to the three months ended July 31, 2024.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income for the three months ended July 31, 2025 increased by $2.1 million compared to the three months ended July 31, 2024. The increase was due to $2.1 million interest income received from various interest-bearing bank accounts as a result of higher account balances.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expense (income) for the three months ended July 31, 2025 decreased by $2.9 million compared to the three months ended July 31, 2024. The decrease was primarily due to a $2.9 million decrease in the fair value of the warrant liability.</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each of the three months ended July 31, 2025 and 2024, the tax provision was less than $0.1 million, which was primarily related to state tax liabilities in the United States.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Since inception, we have devoted substantially all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 We have incurred net losses in each year since inception and expect to continue to incur net losses in the foreseeable future. Our net loss and comprehensive loss were $25.8 million and $20.3 million for the three months ended July 31, 2025, and 2024, respectively. As of July 31, 2025, we had an accumulated deficit of $546.1 million. For the three months ended July 31, 2025, and 2024, we generated negative operating cash flows of $26.3 million and $17.5 million, respectively.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July 31, 2025, and April 30, 2025, our principal sources of liquidity consisted of $201.5 million and $237.9 million of cash and cash equivalents, respectively. Based on our current operating plan, we believe that our existing cash and cash equivalents, which includes the net proceeds from our IPO, as well as cash generated from revenue transactions with customers, will be sufficient to fund our operating and capital needs for at least the next 12 months.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Funding Requirements and Contractual Obligations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incurred significant operating losses and negative cash flows driven by substantial research and development expenses as well as our large investment in our fleet of ASSURE WCDs and building our commercial organization. Our operations have focused on developing products, establishing our intellectual property portfolio, marketing our product and staffing the Company to support continued growth. Our primary use of cash has been to fund operating expenses, which comprise research and development expenses, and costs of building the commercial team and necessary infrastructure to support our growth. Cash used to fund our operating expenses is impacted by the timing of when we pay for such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obtained the PMA for our ASSURE WCD from the FDA on July 27, 2021 and fully commercially launched our ASSURE WCD in August 2022. We will continue to scale the business and therefore expect operating losses to continue. Based on our current operating plan, we believe that our existing cash and cash equivalents, which includes the net proceeds from our IPO, as well as cash generated from revenue transactions with customers,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Our assessment of the period of time through which our financial resources will be adequate to support our operations is a forward-looking statement and involves risks and uncertainties.</w:t>
      </w:r>
    </w:p>
    <w:p>
      <w:pPr>
        <w:pStyle w:val="TextBody"/>
        <w:bidi w:val="0"/>
        <w:spacing w:before="0" w:after="240"/>
        <w:jc w:val="left"/>
        <w:rPr>
          <w:rFonts w:ascii="Times New Roman" w:hAnsi="Times New Roman"/>
          <w:sz w:val="20"/>
        </w:rPr>
      </w:pPr>
      <w:r>
        <w:rPr>
          <w:rFonts w:ascii="Times New Roman" w:hAnsi="Times New Roman"/>
          <w:color w:val="000000"/>
          <w:sz w:val="20"/>
        </w:rPr>
        <w:t>Our future obligations primarily consist of our debt obligations. From our inception to the consummation of the IPO, our operations were primarily funded by proceeds from our capital contributions made by West Affum Holdings, L.P., our direct parent prior to the Organizational Transactions, borrowings under our Term Loan 2024 and our revenues. We expect our cash generation from operations and future ability to refinance or secure additional equity or financing to be sufficient to repay our outstanding debt obligations. As of July 31, 2025, the outstanding principal amount under the Term Loan 2024 was approximately $45.0 million. For further information, see Note 7, “</w:t>
      </w:r>
      <w:r>
        <w:rPr>
          <w:rFonts w:ascii="Times New Roman" w:hAnsi="Times New Roman"/>
          <w:i/>
          <w:color w:val="000000"/>
          <w:sz w:val="20"/>
        </w:rPr>
        <w:t>Long-Term Debt,</w:t>
      </w:r>
      <w:r>
        <w:rPr>
          <w:rFonts w:ascii="Times New Roman" w:hAnsi="Times New Roman"/>
          <w:color w:val="000000"/>
          <w:sz w:val="20"/>
        </w:rPr>
        <w:t>” to our unaudited interim condensed consolidated financial statements included elsewhere in this Quarterly Report.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July 31, 2025, we had cash and cash equivalents and restricted cash balances of $201.5 million and an accumulated deficit of $546.1 million.</w:t>
      </w:r>
    </w:p>
    <w:p>
      <w:pPr>
        <w:pStyle w:val="TextBody"/>
        <w:bidi w:val="0"/>
        <w:spacing w:before="0" w:after="240"/>
        <w:jc w:val="left"/>
        <w:rPr>
          <w:rFonts w:ascii="Times New Roman" w:hAnsi="Times New Roman"/>
          <w:sz w:val="20"/>
        </w:rPr>
      </w:pPr>
      <w:r>
        <w:rPr>
          <w:rFonts w:ascii="Times New Roman" w:hAnsi="Times New Roman"/>
          <w:color w:val="000000"/>
          <w:sz w:val="20"/>
        </w:rPr>
        <w:t>In the three months ended July 31, 2024, we received $103.4 million in cash from West Affum Holdings, L.P. in return for the issuance of redeemable preferred stock as described in Note 10, “</w:t>
      </w:r>
      <w:r>
        <w:rPr>
          <w:rFonts w:ascii="Times New Roman" w:hAnsi="Times New Roman"/>
          <w:i/>
          <w:color w:val="000000"/>
          <w:sz w:val="20"/>
        </w:rPr>
        <w:t>Redeemable Preferred Stock,</w:t>
      </w:r>
      <w:r>
        <w:rPr>
          <w:rFonts w:ascii="Times New Roman" w:hAnsi="Times New Roman"/>
          <w:color w:val="000000"/>
          <w:sz w:val="20"/>
        </w:rPr>
        <w:t>” to our unaudited interim condensed consolidated financial statements included elsewhere in this Quarterly Report. Additionally, in July 2024, one of our subsidiaries received $17.1 million from a third-party investor in return for redeemable shares of the subsidiary.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September 29, 2023, we entered into a Credit Agreement with Perceptive Credit Holdings IV, LP, as administrative agent, which provides for a senior secured delayed draw term loan facility in an aggregate principal amount of up to $60.0 million (“Term Loan 2024”). The Term Loan 2024 matures on September 29, 2028. Borrowings under the Term Loan 2024 are made available in up to three tranches, the first of which is available upon closing of the Term Loan 2024 and two follow-on tranches of $7.5 million which become available before November 1, 2024 and February 1, 2025 and are dependent upon achievement of revenue milestones of trailing twelve month revenues of $50.0 million and $70.0 million, respectively. We did not meet the revenue milestone required to draw on the November 1, 2024 follow-on tranche of the Term Loan 2024. As of October 31, 2024, we determined it was not likely that we would meet the revenue milestone required to draw on the February 1, 2025 follow-on tranche of the Term Loan 2024. As a result, we expensed the asset related to debt issuance costs and facility fees in the amount of $0.5 million. The Term Loan 2024 bears interest on outstanding balances of Term SOFR plus a margin of 7.25% per annum. All interest is due and payable quarterly in arrears.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September 29, 2023, we drew the initial $45.0 million under the Term Loan 2024. In conjunction with the draw of the first tranche, West Affum Holdings, L.P. issued a warrant to the lender to purchase up to 256,410 shares of West Affum Holdings, L.P.’s common units at an exercise price of $17.55 per share. The fair value of the warrant was $1.6 million and recognized as a debt discount and as a capital contribution, and the debt discount was amortized over the term of the loan to interest expense.</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February 25, 2025, we entered into the Second Amendment to Credit Agreement and Guaranty, by and among Kestra Medical Technologies, Inc., the Company, the guarantors party thereto, the lenders party thereto and Perceptive Credit Holdings IV, LP, as administrative agent (the “Second Amendment to Credit Agreement”) which amended the Term Loan 2024 to adjust the revenue milestones set forth in the Term Loan 2024 and to amend our ability to draw on additional funds. Under the Second Amendment to Credit Agreement, an additional $15.0 million term loan draw is available to us through July 31, 2026 upon achievement of a twelve-month trailing revenue run rate of $60.0 million. In connection with the Second Amendment to Credit Agreement and the IPO, the warrant issued to Perceptive Credit Holdings IV, LP on September 29, 2023 was cancelled and replaced with a new warrant to purchase up to 325,847 of our common shares with an exercise price of $11.54 per share.</w:t>
      </w:r>
    </w:p>
    <w:p>
      <w:pPr>
        <w:pStyle w:val="TextBody"/>
        <w:bidi w:val="0"/>
        <w:spacing w:before="0" w:after="240"/>
        <w:jc w:val="left"/>
        <w:rPr>
          <w:rFonts w:ascii="Times New Roman" w:hAnsi="Times New Roman"/>
          <w:sz w:val="20"/>
        </w:rPr>
      </w:pPr>
      <w:r>
        <w:rPr>
          <w:rFonts w:ascii="Times New Roman" w:hAnsi="Times New Roman"/>
          <w:color w:val="000000"/>
          <w:sz w:val="20"/>
        </w:rPr>
        <w:t>For further information, see Note 7, “</w:t>
      </w:r>
      <w:r>
        <w:rPr>
          <w:rFonts w:ascii="Times New Roman" w:hAnsi="Times New Roman"/>
          <w:i/>
          <w:color w:val="000000"/>
          <w:sz w:val="20"/>
        </w:rPr>
        <w:t>Long-Term Debt,</w:t>
      </w:r>
      <w:r>
        <w:rPr>
          <w:rFonts w:ascii="Times New Roman" w:hAnsi="Times New Roman"/>
          <w:color w:val="000000"/>
          <w:sz w:val="20"/>
        </w:rPr>
        <w:t>” to our unaudited interim condensed consolidated financial statements for the three months ended July 31, 2025 and 2024 included elsewhere in this Quarterly Report and our consolidated financial statements for the fiscal years ended April 30, 2025 and 2024 included in the Annual Report.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presents a summary of our cash flows from operating activities, investing activities and financing activities for the periods indicated:</w:t>
      </w:r>
    </w:p>
    <w:tbl>
      <w:tblPr>
        <w:tblW w:w="8186" w:type="dxa"/>
        <w:jc w:val="left"/>
        <w:tblInd w:w="0" w:type="dxa"/>
        <w:tblLayout w:type="fixed"/>
        <w:tblCellMar>
          <w:top w:w="28" w:type="dxa"/>
          <w:left w:w="28" w:type="dxa"/>
          <w:bottom w:w="28" w:type="dxa"/>
          <w:right w:w="28" w:type="dxa"/>
        </w:tblCellMar>
      </w:tblPr>
      <w:tblGrid>
        <w:gridCol w:w="5236"/>
        <w:gridCol w:w="146"/>
        <w:gridCol w:w="223"/>
        <w:gridCol w:w="779"/>
        <w:gridCol w:w="281"/>
        <w:gridCol w:w="260"/>
        <w:gridCol w:w="223"/>
        <w:gridCol w:w="827"/>
        <w:gridCol w:w="21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(26,274</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(36,381</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i/>
          <w:color w:val="231F20"/>
          <w:sz w:val="20"/>
        </w:rPr>
      </w:pPr>
      <w:r>
        <w:rPr>
          <w:rFonts w:ascii="Times New Roman" w:hAnsi="Times New Roman"/>
          <w:i/>
          <w:color w:val="231F20"/>
          <w:sz w:val="20"/>
        </w:rPr>
        <w:t>Cash Flows from Operating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July 31, 2025, cash used in operating activities was $26.3 million, which primarily consisted of a net loss of $25.8 million and a net decrease of $6.1 million in operating assets and liabilities, offset by a net increase of $5.6 million in non-cash charges. The net change in our operating assets and liabilities consisted of changes in accounts payable of $2.9 million, account receivables of $1.8 million, accrued liabilities of $0.9 million, disposable medical equipment supplies of $0.5 million, and operating lease liabilities of $0.1 million, partially offset by prepaid expenses and other current assets of $0.1 million. The non-cash charges primarily consisted of share-based compensation expense of $4.6 million, depreciation and amortization of $2.0 million, provision for uncollectible accounts receivable of $0.6 million, amortization of debt discounts and issuance costs of $0.5 million, reserve for lost medical supplies of $0.4 million, loss on disposal of property and equipment of $0.3 million, and non-cash lease expense of $0.1 million, partially offset by change in fair value of warrant liability of $2.9 million.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July 31, 2024, cash used in operating activities was $17.5 million, which primarily consisted of a net loss of $20.3 million and a net decrease of $1.5 million in operating assets and liabilities, offset by a net increase of $4.3 million in non-cash charges. The net change in our operating assets and liabilities was primarily due to changes in accounts receivable of $2.9 million, disposable medical equipment supplies of $0.6 million, and prepaid expenses and other current assets of $0.4 million, partially offset by changes in accounts payable of $2.3 million and accrued liabilities of $0.1 million. The non-cash charges primarily consisted of depreciation and amortization expense of $2.4 million, provision for uncollectible accounts receivable of $0.7 million, share-based compensation expense of $0.4 million, interest paid-in-kind of $0.2 million related to the Term Loan 2024, non-cash lease expense of $0.2 million, loss on disposal of property and equipment of $0.2 million, and amortization of debt discounts and issuance costs of $0.2 million.</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i/>
          <w:color w:val="231F20"/>
          <w:sz w:val="20"/>
        </w:rPr>
      </w:pPr>
      <w:r>
        <w:rPr>
          <w:rFonts w:ascii="Times New Roman" w:hAnsi="Times New Roman"/>
          <w:i/>
          <w:color w:val="231F20"/>
          <w:sz w:val="20"/>
        </w:rPr>
        <w:t>Cash Flows from Investing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July 31, 2025, cash used in investing activities was $8.2 million, which primarily consisted of $8.1 million of purchases of property and equipment such as medical rental equipment, computer hardware, test equipment and other research and development activities, and leasehold improvements, and $0.1 million of deposits paid for medical rental equipment.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July 31, 2024, cash used in investing activities was $7.0 million, which primarily consisted of purchases of property and equipment such as medical rental equipment, computer hardware, test equipment and other research and development activities, and leasehold improvements.</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Cash Flows from Financing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July 31, 2025, cash used in financing activities was $1.9 million, which primarily consisted of payments of IPO offering costs.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July 31, 2024, cash provided by financing activities was $116.2 million, which primarily consisted of proceeds from the issuance of redeemable preferred stock of $103.4 million and $17.1 million in proceeds from issuance of stock to non-controlling interests. The increase in cash provided by financing activities was offset by equity issuance costs of $3.3 million and deemed dividend payments of $1.0 million.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July 31, 2025, we had two irrevocable standby letters of credit issued by Silicon Valley Bank, a division of First Citizens Bank, that total $0.1 million related to our office leases and Cash Pledge Agreement of $0.2 million as collateral for the Company credit card program. We did not have any other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entered into any non-financial agreements involving assets.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Critical Accounting Policies and Significant Management Estimates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unaudited interim condensed consolidated financial statements, which have been prepared in accordance with United States generally accepted accounting principles. The preparation of our consolidated financial statements and related disclosures requires us to make estimates and assumptions that affect the reported amounts of assets, liabilities, costs and expenses and related disclosures. We base our estimates on historical experience, known trends and events and various other assumptions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materially from these estimates under different assumptions or conditions, could have a material impact on the Company’s business, financial condition, results of operations and prospects.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Information about our significant accounting policies and how estimates are involved in the preparation of our financial statements are described in our Annual Report filed with the SEC on July 17, 2025. See also Note 2 to our unaudited interim condensed consolidated financial statements elsewhere in this Quarterly Report. There have been no material changes in our significant accounting policies and estimates since our Annual Report.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an “emerging growth company” as defined in Section 2(a) of the Securities Act. We will remain an emerging growth company until the earliest to occur of (i) the last day of the fiscal year that follows the fifth anniversary of the completion of our IPO; (ii) the last day of the fiscal year in which we have total annual gross revenue of at least $1.235 billion; (iii) the last day of the fiscal year in which we are deemed to be a “large accelerated filer,” as defined in Rule 12b-2 under the Exchange Act, which will occur when the market value of our common shares held by non-affiliates exceeds $700.0 million as of the most recently completed second quarter; and (iv) the date on which we have issued more than $1 billion in non-convertible debt over a three-year period.</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Pursuant to the JOBS Act, an emerging growth company is provided the option to adopt new or revised accounting standards that may be issued by the Financial Accounting Standards Board or the SEC either (i) within the same periods as those otherwise applicable to non-emerging growth companies or (ii) within the same time periods as private companies. We have elected to take advantage of the exemption for complying with new or revised accounting standards within the same time periods as private companies. Accordingly, the information contained herein may be different than the information you receive from other public companies.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elected to take advantage of some of the reduced regulatory and reporting requirements of emerging growth companies pursuant to the JOBS Act so long as we qualify as an emerging growth company, including, but not limited to, not being required to comply with the auditor attestation requirements of Section 404(b) of the Sarbanes-Oxley Act, and reduced disclosure obligations regarding executive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also a “smaller reporting company,” as such term is defined in Rule 12b-2 under the Exchange Act. We may continue to be a smaller reporting company for so long as either (1) the market value of our 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we will continue to be permitted to make certain reduced disclosures in our periodic reports and other documents that we file with the SEC. Specifically, as a smaller reporting company, we may choose to present only the two most recent fiscal years of audited financial statements in our Annual Report and, similar to emerging growth companies, smaller reporting companies have reduced disclosure obligations regarding executive compensation.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Recently Adopted and Issued Accounting Pronouncements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Recently issued accounting pronouncements are described in Note 2 to our unaudited interim condensed consolidated financial statements.</w:t>
      </w:r>
    </w:p>
    <w:p>
      <w:pPr>
        <w:pStyle w:val="TextBody"/>
        <w:bidi w:val="0"/>
        <w:spacing w:before="120" w:after="240"/>
        <w:jc w:val="left"/>
        <w:rPr>
          <w:rFonts w:ascii="Times New Roman" w:hAnsi="Times New Roman"/>
          <w:b/>
          <w:color w:val="000000"/>
          <w:sz w:val="20"/>
        </w:rPr>
      </w:pPr>
      <w:bookmarkStart w:id="8" w:name="item_3_quantitative_and_qualitative"/>
      <w:bookmarkEnd w:id="8"/>
      <w:r>
        <w:rPr>
          <w:rFonts w:ascii="Times New Roman" w:hAnsi="Times New Roman"/>
          <w:b/>
          <w:color w:val="000000"/>
          <w:sz w:val="20"/>
        </w:rPr>
        <w:t>Item 3. Quantitative and Qualitative Disclosures About Market Risk.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have been no material changes to our market risk during the three months ended July 31, 2025. For a discussion of our market risk, refer to our quantitative and qualitative disclosures about market risk set forth in Part II, Item 7A, “Quantitative and Qualitative Disclosures About Market Risk” in our Annual Report.</w:t>
      </w:r>
    </w:p>
    <w:p>
      <w:pPr>
        <w:pStyle w:val="TextBody"/>
        <w:bidi w:val="0"/>
        <w:spacing w:before="120" w:after="240"/>
        <w:jc w:val="left"/>
        <w:rPr>
          <w:rFonts w:ascii="Times New Roman" w:hAnsi="Times New Roman"/>
          <w:b/>
          <w:color w:val="000000"/>
          <w:sz w:val="20"/>
        </w:rPr>
      </w:pPr>
      <w:bookmarkStart w:id="9" w:name="item_4_controls_and_procedures"/>
      <w:bookmarkEnd w:id="9"/>
      <w:r>
        <w:rPr>
          <w:rFonts w:ascii="Times New Roman" w:hAnsi="Times New Roman"/>
          <w:b/>
          <w:color w:val="000000"/>
          <w:sz w:val="20"/>
        </w:rPr>
        <w:t>Item 4. Controls and Procedures.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management, under the supervision and with the participation of our Chief Executive Officer and our Chief Financial Officer, has evaluated the effectiveness of our disclosure controls and procedures (as defined in Rules 13a-15(e) and 15d-15(e) under the Securities Exchange Act of 1934, as amended (the “Exchange Act”)). Based on such evaluation, our Chief Executive Officer and Chief Financial Officer have concluded that the Company’s disclosure controls and procedures were not effective as of July 31, 2025, because of the material weaknesses in our internal control over financial reporting described below.</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Material Weaknesses in Internal Control over Financial Reporting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did not design and maintain an effective control environment commensurate with our financial reporting requirements. Specifically, we lacked a sufficient complement of resources in the accounting, finance and IT functions to appropriately analyze, record and disclose accounting matters timely and accurately. This material weakness contributed to the following additional material weaknesses.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did not design and maintain effective controls to ensure the financial statements were properly presented and classified for certain non-routine or complex transactions. Specifically, we did not design and maintain controls to appropriately account for the classification of selling, general and administrative expenses, paid-in-kind interest, restricted cash, right of use lease assets, and the cash flow presentation of leases. This material weakness resulted in immaterial audit adjustments to the aforementioned accounts, which were recorded in previous years, prior to the issuance of the consolidated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did not design and maintain effective controls to verify personnel would not have the ability to prepare and post manual journal entries or review account reconciliations without an independent review by someone without the ability to prepare and post manual journal entries. This material weakness did not result in adjustments to the consolidated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did not design and maintain effective controls over IT general controls for information systems that are relevant to the preparation of our consolidated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data backups are authorized and monitored; and (iv) testing and approval controls for program development to ensure that new software development is aligned with business and IT requirements.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IT deficiencies did not result in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Remediation Plans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continue to make progress towards remediating these material weaknesses. These remediation measures are ongoing as of the date of this Form 10-Q and include: hiring additional personnel, such as financial planning and accounting, compliance, information technology, and other professionals with appropriate levels of knowledge and experience; engaging third parties to assist with technical accounting and in designing and implementing controls related to period-end financial reporting, segregation of duties and IT general controls; designing and implementing controls to properly present and classify non-routine or complex transactions; and enhancing IT governance processes.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intend to evaluate current and projected resource needs on a regular basis and hire additional qualified resources as needed. Our ability to maintain qualified and adequate resources to support the Company and our projected growth will be a critical component of our internal control environment.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during the quarter ended July 31, 2025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Inherent Limitations on Effectiveness of Disclosure Controls and Procedures and Internal Control over Financial Reporting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management team, including our Chief Executive Officer and Chief Financial Officer, believes that our disclosure controls and procedures and internal control over financial reporting are designed to provide reasonable assurance of achieving their objectives. The effectiveness of any systems of controls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center"/>
        <w:rPr>
          <w:rFonts w:ascii="Times New Roman" w:hAnsi="Times New Roman"/>
          <w:b/>
          <w:color w:val="000000"/>
          <w:sz w:val="20"/>
        </w:rPr>
      </w:pPr>
      <w:bookmarkStart w:id="10" w:name="part_ii_other_information"/>
      <w:bookmarkEnd w:id="10"/>
      <w:r>
        <w:rPr>
          <w:rFonts w:ascii="Times New Roman" w:hAnsi="Times New Roman"/>
          <w:b/>
          <w:color w:val="000000"/>
          <w:sz w:val="20"/>
        </w:rPr>
        <w:t>PART II—OTHER INFORMATION</w:t>
      </w:r>
    </w:p>
    <w:p>
      <w:pPr>
        <w:pStyle w:val="TextBody"/>
        <w:bidi w:val="0"/>
        <w:spacing w:before="120" w:after="240"/>
        <w:jc w:val="left"/>
        <w:rPr>
          <w:rFonts w:ascii="Times New Roman" w:hAnsi="Times New Roman"/>
          <w:b/>
          <w:color w:val="000000"/>
          <w:sz w:val="20"/>
        </w:rPr>
      </w:pPr>
      <w:bookmarkStart w:id="11" w:name="item_1_legal_proceedings"/>
      <w:bookmarkEnd w:id="11"/>
      <w:r>
        <w:rPr>
          <w:rFonts w:ascii="Times New Roman" w:hAnsi="Times New Roman"/>
          <w:b/>
          <w:color w:val="000000"/>
          <w:sz w:val="20"/>
        </w:rPr>
        <w:t>Item 1. Legal Proceedings.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 from time to time a party to various lawsuits, claims and other legal proceedings that arise in the ordinary course of business. The Company does not expect any of its pending legal proceedings to have a material adverse effect on its results of operations, financial position or cash flows.</w:t>
      </w:r>
    </w:p>
    <w:p>
      <w:pPr>
        <w:pStyle w:val="TextBody"/>
        <w:bidi w:val="0"/>
        <w:spacing w:before="120" w:after="240"/>
        <w:jc w:val="left"/>
        <w:rPr>
          <w:rFonts w:ascii="Times New Roman" w:hAnsi="Times New Roman"/>
          <w:b/>
          <w:color w:val="000000"/>
          <w:sz w:val="20"/>
        </w:rPr>
      </w:pPr>
      <w:bookmarkStart w:id="12" w:name="item_1a_risk_factors"/>
      <w:bookmarkEnd w:id="12"/>
      <w:r>
        <w:rPr>
          <w:rFonts w:ascii="Times New Roman" w:hAnsi="Times New Roman"/>
          <w:b/>
          <w:color w:val="000000"/>
          <w:sz w:val="20"/>
        </w:rPr>
        <w:t>Item 1A. Risk Factors.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Investing in our common shares involves a high degree of risk. For a detailed discussion of the risks that affect our business, please refer to the section entitled “Risk Factors” in the Company’s Annual Report. There have been no material changes to our risk factors as previously disclosed in the Company’s Annual Report.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pStyle w:val="TextBody"/>
        <w:bidi w:val="0"/>
        <w:spacing w:before="120" w:after="240"/>
        <w:jc w:val="left"/>
        <w:rPr>
          <w:rFonts w:ascii="Times New Roman" w:hAnsi="Times New Roman"/>
          <w:b/>
          <w:color w:val="000000"/>
          <w:sz w:val="20"/>
        </w:rPr>
      </w:pPr>
      <w:bookmarkStart w:id="13" w:name="item_2_unregistered_sales_of_equity"/>
      <w:bookmarkEnd w:id="13"/>
      <w:r>
        <w:rPr>
          <w:rFonts w:ascii="Times New Roman" w:hAnsi="Times New Roman"/>
          <w:b/>
          <w:color w:val="000000"/>
          <w:sz w:val="20"/>
        </w:rPr>
        <w:t>Item 2. Unregistered Sales of Equity Securities and Use of Proceeds.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40"/>
        <w:jc w:val="left"/>
        <w:rPr>
          <w:rFonts w:ascii="Times New Roman" w:hAnsi="Times New Roman"/>
          <w:b/>
          <w:color w:val="000000"/>
          <w:sz w:val="20"/>
        </w:rPr>
      </w:pPr>
      <w:bookmarkStart w:id="14" w:name="item_3_defaults_upon_senior_securities"/>
      <w:bookmarkEnd w:id="14"/>
      <w:r>
        <w:rPr>
          <w:rFonts w:ascii="Times New Roman" w:hAnsi="Times New Roman"/>
          <w:b/>
          <w:color w:val="000000"/>
          <w:sz w:val="20"/>
        </w:rPr>
        <w:t>Item 3. Defaults Upon Senior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40"/>
        <w:jc w:val="left"/>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40"/>
        <w:jc w:val="left"/>
        <w:rPr>
          <w:rFonts w:ascii="Times New Roman" w:hAnsi="Times New Roman"/>
          <w:b/>
          <w:color w:val="000000"/>
          <w:sz w:val="20"/>
        </w:rPr>
      </w:pPr>
      <w:bookmarkStart w:id="16" w:name="item_5_other_information"/>
      <w:bookmarkEnd w:id="16"/>
      <w:r>
        <w:rPr>
          <w:rFonts w:ascii="Times New Roman" w:hAnsi="Times New Roman"/>
          <w:b/>
          <w:color w:val="000000"/>
          <w:sz w:val="20"/>
        </w:rPr>
        <w:t>Item 5. Other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three months ended July 31, 2025, none of our directors or officers adopted, modified, or terminated a “Rule 10b5-1 trading arrangement” or “non-Rule 10b5-1 trading arrangement,” as each term is defined in Item 408(a) of Regulation S-K.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78"/>
        <w:gridCol w:w="146"/>
        <w:gridCol w:w="9281"/>
      </w:tblGrid>
      <w:tr>
        <w:trPr/>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1" w:type="dxa"/>
            <w:tcBorders/>
            <w:vAlign w:val="center"/>
          </w:tcPr>
          <w:p>
            <w:pPr>
              <w:pStyle w:val="TableContents"/>
              <w:bidi w:val="0"/>
              <w:spacing w:before="0" w:after="283"/>
              <w:jc w:val="left"/>
              <w:rPr>
                <w:sz w:val="4"/>
                <w:szCs w:val="4"/>
              </w:rPr>
            </w:pPr>
            <w:r>
              <w:rPr>
                <w:sz w:val="4"/>
                <w:szCs w:val="4"/>
              </w:rPr>
            </w:r>
          </w:p>
        </w:tc>
      </w:tr>
      <w:tr>
        <w:trPr/>
        <w:tc>
          <w:tcPr>
            <w:tcW w:w="77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Incorporation (previously filed as Exhibit 3.1 to the Registration Statement on Form S-1 (File No. 333-284807) filed on February 10, 2025 and incorporated herein by reference).</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Memorandum of Association (previously filed as Exhibit 3.2 to the Registration Statement on Form S-1 (File No. 333-284807) filed on February 10, 2025 and incorporated herein by reference).</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Bye-laws of the Registrant (previously filed as Exhibit 3.1 to the Current Report on Form 8-K (File No. 001-42549) filed on March 7, 2025 and incorporated herein by reference).</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Deposit of Memorandum of Increase of Share Capital (previously filed as Exhibit 3.2 to the Current Report on Form 8-K (File No. 001-42549) filed on March 7, 2025 and incorporated herein by reference).</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Includes a management contract or compensatory plan.</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984" w:type="dxa"/>
        <w:jc w:val="left"/>
        <w:tblInd w:w="0" w:type="dxa"/>
        <w:tblLayout w:type="fixed"/>
        <w:tblCellMar>
          <w:top w:w="28" w:type="dxa"/>
          <w:left w:w="28" w:type="dxa"/>
          <w:bottom w:w="28" w:type="dxa"/>
          <w:right w:w="28" w:type="dxa"/>
        </w:tblCellMar>
      </w:tblPr>
      <w:tblGrid>
        <w:gridCol w:w="2221"/>
        <w:gridCol w:w="146"/>
        <w:gridCol w:w="406"/>
        <w:gridCol w:w="32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Kestra Medical Technologies, Ltd.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Vaseem Mahboob</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Vaseem Mahboob</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bookmarkStart w:id="19" w:name="ck0001877184-ex31_1.htm"/>
      <w:bookmarkStart w:id="20" w:name="ksck0001877184ex31_1"/>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 Brian Webster,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Kestra Medical Technologies,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04" w:type="dxa"/>
        <w:jc w:val="left"/>
        <w:tblInd w:w="0" w:type="dxa"/>
        <w:tblLayout w:type="fixed"/>
        <w:tblCellMar>
          <w:top w:w="28" w:type="dxa"/>
          <w:left w:w="28" w:type="dxa"/>
          <w:bottom w:w="28" w:type="dxa"/>
          <w:right w:w="28" w:type="dxa"/>
        </w:tblCellMar>
      </w:tblPr>
      <w:tblGrid>
        <w:gridCol w:w="2221"/>
        <w:gridCol w:w="146"/>
        <w:gridCol w:w="406"/>
        <w:gridCol w:w="333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ck0001877184-ex31_2.htm"/>
      <w:bookmarkStart w:id="22" w:name="ksck0001877184ex31_2"/>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Vaseem Mahboob,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Kestra Medical Technologies,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74" w:type="dxa"/>
        <w:jc w:val="left"/>
        <w:tblInd w:w="0" w:type="dxa"/>
        <w:tblLayout w:type="fixed"/>
        <w:tblCellMar>
          <w:top w:w="28" w:type="dxa"/>
          <w:left w:w="28" w:type="dxa"/>
          <w:bottom w:w="28" w:type="dxa"/>
          <w:right w:w="28" w:type="dxa"/>
        </w:tblCellMar>
      </w:tblPr>
      <w:tblGrid>
        <w:gridCol w:w="2221"/>
        <w:gridCol w:w="146"/>
        <w:gridCol w:w="406"/>
        <w:gridCol w:w="210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Vaseem Mahboob</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Vaseem Mahboob</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ck0001877184-ex32_1.htm"/>
      <w:bookmarkStart w:id="24" w:name="ksck0001877184ex32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connection with the Quarterly Report of Kestra Medical Technologies, Ltd. (the “Company”) on Form 10-Q for the period ending July 31, 2025 as filed with the Securities and Exchange Commission on the date hereof (the “Report”), I certify, pursuant to 18 U.S.C. § 1350, as adopted pursuant to § 906 of the Sarbanes-Oxley Act of 2002,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6104" w:type="dxa"/>
        <w:jc w:val="left"/>
        <w:tblInd w:w="0" w:type="dxa"/>
        <w:tblLayout w:type="fixed"/>
        <w:tblCellMar>
          <w:top w:w="28" w:type="dxa"/>
          <w:left w:w="28" w:type="dxa"/>
          <w:bottom w:w="28" w:type="dxa"/>
          <w:right w:w="28" w:type="dxa"/>
        </w:tblCellMar>
      </w:tblPr>
      <w:tblGrid>
        <w:gridCol w:w="2221"/>
        <w:gridCol w:w="146"/>
        <w:gridCol w:w="406"/>
        <w:gridCol w:w="333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ck0001877184-ex32_2.htm"/>
      <w:bookmarkStart w:id="26" w:name="ksck0001877184ex32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Kestra Medical Technologies, Ltd. (the “Company”) on Form 10-Q for the period ending July 31, 2025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4874" w:type="dxa"/>
        <w:jc w:val="left"/>
        <w:tblInd w:w="0" w:type="dxa"/>
        <w:tblLayout w:type="fixed"/>
        <w:tblCellMar>
          <w:top w:w="28" w:type="dxa"/>
          <w:left w:w="28" w:type="dxa"/>
          <w:bottom w:w="28" w:type="dxa"/>
          <w:right w:w="28" w:type="dxa"/>
        </w:tblCellMar>
      </w:tblPr>
      <w:tblGrid>
        <w:gridCol w:w="2221"/>
        <w:gridCol w:w="146"/>
        <w:gridCol w:w="406"/>
        <w:gridCol w:w="210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Vaseem Mahboob</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Vaseem Mahboob</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7184/000119312525023649/d744414dex31.htm" TargetMode="External"/><Relationship Id="rId3" Type="http://schemas.openxmlformats.org/officeDocument/2006/relationships/hyperlink" Target="https://www.sec.gov/Archives/edgar/data/1877184/000119312525023649/d744414dex32.htm" TargetMode="External"/><Relationship Id="rId4" Type="http://schemas.openxmlformats.org/officeDocument/2006/relationships/hyperlink" Target="https://www.sec.gov/Archives/edgar/data/1877184/000119312525049896/d890644dex31.htm" TargetMode="External"/><Relationship Id="rId5" Type="http://schemas.openxmlformats.org/officeDocument/2006/relationships/hyperlink" Target="https://www.sec.gov/Archives/edgar/data/1877184/000119312525049896/d890644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18762</Words>
  <Characters>104150</Characters>
  <CharactersWithSpaces>123235</CharactersWithSpaces>
  <Paragraphs>3493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