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Ladone Mary Kay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KESTRA MEDICAL TECHNOLOGIES,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25.1956</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37,507</w:t>
            </w:r>
            <w:r>
              <w:rPr>
                <w:rFonts w:ascii="Times;serif" w:hAnsi="Times;serif"/>
                <w:color w:val="008000"/>
                <w:position w:val="7"/>
                <w:sz w:val="16"/>
                <w:sz w:val="20"/>
                <w:shd w:fill="FFFFFF" w:val="clear"/>
              </w:rPr>
              <w:t>(3)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7,217</w:t>
            </w:r>
            <w:r>
              <w:rPr>
                <w:rFonts w:ascii="Times;serif" w:hAnsi="Times;serif"/>
                <w:color w:val="008000"/>
                <w:position w:val="7"/>
                <w:sz w:val="16"/>
                <w:sz w:val="20"/>
                <w:shd w:fill="FFFFFF" w:val="clear"/>
              </w:rPr>
              <w:t>(4)</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44,724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$24.9100 to $25.4300. Upon request, the reporting person will provide to the Issuer, any security holder of the Issuer, or the SEC staff, information regarding the number of shares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17,512 Common Shares received from West Affum Holdings, L.P., in a pro rata distribution exempt pursuant to Rule 16a-9.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securities represent restricted stock units which each entitle the reporting person to receive one common share of the Issuer. The restricted stock units will vest on September 9, 2027, subject to the reporting person's continued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 as attorney-in-fact for Mary Kay Ladone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0737"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4032</Characters>
  <CharactersWithSpaces>4702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