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877184-20260914.htm"/>
      <w:bookmarkStart w:id="1" w:name="ksck00018771842026091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KESTRA MEDICAL TECHNOLOGIES, LTD.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151" w:type="dxa"/>
        <w:jc w:val="left"/>
        <w:tblInd w:w="0" w:type="dxa"/>
        <w:tblLayout w:type="fixed"/>
        <w:tblCellMar>
          <w:top w:w="28" w:type="dxa"/>
          <w:left w:w="28" w:type="dxa"/>
          <w:bottom w:w="28" w:type="dxa"/>
          <w:right w:w="28" w:type="dxa"/>
        </w:tblCellMar>
      </w:tblPr>
      <w:tblGrid>
        <w:gridCol w:w="1026"/>
        <w:gridCol w:w="930"/>
        <w:gridCol w:w="938"/>
        <w:gridCol w:w="1846"/>
        <w:gridCol w:w="1411"/>
      </w:tblGrid>
      <w:tr>
        <w:trPr/>
        <w:tc>
          <w:tcPr>
            <w:tcW w:w="10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Bermuda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001-42549</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3933 Lake Washington Blvd NE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25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Kirkland,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98033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(425)</w:t>
            </w:r>
            <w:r>
              <w:rPr>
                <w:rFonts w:ascii="Times New Roman" w:hAnsi="Times New Roman"/>
                <w:color w:val="000000"/>
                <w:sz w:val="20"/>
              </w:rPr>
              <w:t xml:space="preserve"> </w:t>
            </w:r>
            <w:r>
              <w:rPr>
                <w:rFonts w:ascii="Times New Roman" w:hAnsi="Times New Roman"/>
                <w:b/>
                <w:color w:val="000000"/>
                <w:sz w:val="20"/>
              </w:rPr>
              <w:t>279-8002</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20" w:type="dxa"/>
        <w:jc w:val="left"/>
        <w:tblInd w:w="0" w:type="dxa"/>
        <w:tblLayout w:type="fixed"/>
        <w:tblCellMar>
          <w:top w:w="28" w:type="dxa"/>
          <w:left w:w="28" w:type="dxa"/>
          <w:bottom w:w="28" w:type="dxa"/>
          <w:right w:w="28" w:type="dxa"/>
        </w:tblCellMar>
      </w:tblPr>
      <w:tblGrid>
        <w:gridCol w:w="3556"/>
        <w:gridCol w:w="146"/>
        <w:gridCol w:w="946"/>
        <w:gridCol w:w="146"/>
        <w:gridCol w:w="382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 par value $1.00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KMTS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September 14, 2026, Kestra Medical Technologies, Ltd. (the “Company”) issued a press release announcing its financial results for the fiscal quarter ended July 31, 2026. A copy of the press release, dated September 14, 2026, is furnished hereto as Exhibit 99.1 and is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information in this Item 2.02 (including Exhibit 99.1 attached hereto) shall not be deemed “filed” for purposes of Section 18 of the Securities Exchange Act of 1934, as amended (the “Exchange Act”), nor shall it be deemed incorporated by reference into any registration statement or any other document filed pursuant to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tbl>
      <w:tblPr>
        <w:tblW w:w="7348" w:type="dxa"/>
        <w:jc w:val="left"/>
        <w:tblInd w:w="0" w:type="dxa"/>
        <w:tblLayout w:type="fixed"/>
        <w:tblCellMar>
          <w:top w:w="28" w:type="dxa"/>
          <w:left w:w="28" w:type="dxa"/>
          <w:bottom w:w="28" w:type="dxa"/>
          <w:right w:w="28" w:type="dxa"/>
        </w:tblCellMar>
      </w:tblPr>
      <w:tblGrid>
        <w:gridCol w:w="706"/>
        <w:gridCol w:w="146"/>
        <w:gridCol w:w="649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99_1.htm">
              <w:r>
                <w:rPr>
                  <w:rStyle w:val="InternetLink"/>
                  <w:rFonts w:ascii="Times New Roman" w:hAnsi="Times New Roman"/>
                  <w:color w:val="0000FF"/>
                  <w:sz w:val="20"/>
                  <w:u w:val="single"/>
                </w:rPr>
                <w:t>Press Release of Kestra Medical Technologies, Ltd., dated September 14,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72" w:type="dxa"/>
        <w:jc w:val="left"/>
        <w:tblInd w:w="0" w:type="dxa"/>
        <w:tblLayout w:type="fixed"/>
        <w:tblCellMar>
          <w:top w:w="28" w:type="dxa"/>
          <w:left w:w="28" w:type="dxa"/>
          <w:bottom w:w="28" w:type="dxa"/>
          <w:right w:w="28" w:type="dxa"/>
        </w:tblCellMar>
      </w:tblPr>
      <w:tblGrid>
        <w:gridCol w:w="2221"/>
        <w:gridCol w:w="109"/>
        <w:gridCol w:w="631"/>
        <w:gridCol w:w="3211"/>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Kestra Medical Technologies, Ltd.</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Webster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ck0001877184-ex99_1.htm"/>
      <w:bookmarkStart w:id="3" w:name="ksck0001877184ex99_1"/>
      <w:bookmarkEnd w:id="2"/>
      <w:bookmarkEnd w:id="3"/>
      <w:r>
        <w:rPr>
          <w:rFonts w:ascii="Times New Roman" w:hAnsi="Times New Roman"/>
          <w:color w:val="000000"/>
          <w:sz w:val="20"/>
        </w:rPr>
        <w:t>Exhibit 99.1</w:t>
      </w:r>
      <w:r>
        <w:br w:type="page"/>
      </w:r>
    </w:p>
    <w:p>
      <w:pPr>
        <w:pStyle w:val="TextBody"/>
        <w:bidi w:val="0"/>
        <w:spacing w:before="120" w:after="283"/>
        <w:jc w:val="left"/>
        <w:rPr/>
      </w:pPr>
      <w:r>
        <w:rPr/>
        <w:drawing>
          <wp:inline distT="0" distB="0" distL="0" distR="0">
            <wp:extent cx="13716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3714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Kestra Medical Technologies Reports First Quarter Fiscal 2027 Financial Results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KIRKLAND, Wash., September 14, 2026 (GLOBE NEWSWIRE) -- Kestra Medical Technologies, Ltd. (Nasdaq: KMTS), a leading wearable medical device and digital healthcare company, today reported financial results for the first quarter of fiscal year 2027, which ended July 31, 2026.</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Generated revenue of $31.0 million in F1Q27, an increase of 60% compared to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Expanded gross margin to 56.5% in F1Q27 compared to 45.7%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Increased FY27 revenue guidance to $141 million, representing growth of 48% compared to FY26.</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Kestra delivered another strong quarter of financial performance, generating revenue growth of 60% while expanding gross margin to over 56%,” said Brian Webster, President and CEO. “We remain confident that our focus on innovation and commercial expansion positions Kestra to generate durable, top-tier growth for years to come. Our team is executing on its commitments to prescribers and their patients and we believe this will continue to drive market expansion and advance Kestra on its path to market leadership.”</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First Quarter Fiscal 2027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Total revenue was $31.0 million, an increase of 60% compared to the prior year period.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Revenue growth was driven by several factors, including wearable cardioverter defibrillator (WCD) market expansion, competitive share gains, new sales territories, higher mix of in-network patients, and ongoing improvements in revenue cycle management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Gross profit was $17.5 million compared to $8.9 million in the prior year period.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Gross margin expanded to 56.5% compared to 45.7% in the prior year period, driven by volume leverage, a higher mix of in-network patients and execution of planned cost improvement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GAAP operating expenses were $55.2 million compared to $37.7 million in the prior year period.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Excluding non-recurring costs and share-based compensation expense, adjusted operating expenses* were $44.2 million compared to $30.3 million in the prior year period. The increase was primarily attributable to growth in expenses related to the company’s commercial expansion and accelerated investment in key R&amp;D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GAAP net loss was $44.1 million compared to GAAP net loss of $25.8 million in the prior year period.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lineRule="auto" w:line="360" w:before="120" w:after="283"/>
        <w:jc w:val="left"/>
        <w:rPr>
          <w:rFonts w:ascii="Times New Roman" w:hAnsi="Times New Roman"/>
          <w:sz w:val="16"/>
        </w:rPr>
      </w:pPr>
      <w:r>
        <w:rPr>
          <w:rFonts w:ascii="Times New Roman" w:hAnsi="Times New Roman"/>
          <w:color w:val="000000"/>
          <w:sz w:val="24"/>
        </w:rPr>
        <w:t>Adjusted EBITDA</w:t>
      </w:r>
      <w:r>
        <w:rPr>
          <w:rFonts w:ascii="Times New Roman" w:hAnsi="Times New Roman"/>
          <w:color w:val="000000"/>
          <w:sz w:val="16"/>
        </w:rPr>
        <w:t xml:space="preserve">* </w:t>
      </w:r>
      <w:r>
        <w:rPr>
          <w:rFonts w:ascii="Times New Roman" w:hAnsi="Times New Roman"/>
          <w:color w:val="000000"/>
          <w:sz w:val="24"/>
        </w:rPr>
        <w:t>loss was $24.0 million compared to an adjusted EBITDA loss of $19.4 million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Cash and cash equivalents, and investments totaled $244.7 million as of July 31, 2026.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Including committed unused availability under the company’s term loan agreement, Kestra has total liquidity of approximately $320 million.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*Adjusted operating expenses and adjusted EBITDA are non-GAAP financial measures. See “Use of Non-GAAP Financial Measures” below for additional information. Reconciliations of adjusted operating expenses and adjusted EBITDA to the most directly comparable GAAP measure are included in this press release.</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Fiscal Year 2027 Revenue Guidance</w:t>
      </w:r>
    </w:p>
    <w:p>
      <w:pPr>
        <w:pStyle w:val="TextBody"/>
        <w:bidi w:val="0"/>
        <w:jc w:val="both"/>
        <w:rPr>
          <w:rFonts w:ascii="Times New Roman" w:hAnsi="Times New Roman"/>
          <w:color w:val="000000"/>
          <w:sz w:val="24"/>
        </w:rPr>
      </w:pPr>
      <w:r>
        <w:rPr>
          <w:rFonts w:ascii="Times New Roman" w:hAnsi="Times New Roman"/>
          <w:color w:val="000000"/>
          <w:sz w:val="24"/>
        </w:rPr>
        <w:t>Kestra is increasing its FY27 revenue guidance to $141 million, representing growth of 48% compared to FY26. This compares to prior FY27 revenue guidance of $137 million.</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Webcast and Conference Call</w:t>
      </w:r>
    </w:p>
    <w:p>
      <w:pPr>
        <w:pStyle w:val="TextBody"/>
        <w:bidi w:val="0"/>
        <w:jc w:val="both"/>
        <w:rPr>
          <w:rFonts w:ascii="Times New Roman" w:hAnsi="Times New Roman"/>
          <w:sz w:val="24"/>
        </w:rPr>
      </w:pPr>
      <w:r>
        <w:rPr>
          <w:rFonts w:ascii="Times New Roman" w:hAnsi="Times New Roman"/>
          <w:color w:val="000000"/>
          <w:sz w:val="24"/>
        </w:rPr>
        <w:t xml:space="preserve">Kestra will host a conference call today at 4:30 p.m. Eastern Time to discuss financial results. A live and archived webcast of the event will be available in the “Events” section of the investor relations </w:t>
      </w:r>
      <w:r>
        <w:rPr>
          <w:rFonts w:ascii="Times New Roman" w:hAnsi="Times New Roman"/>
          <w:color w:val="467886"/>
          <w:sz w:val="24"/>
          <w:u w:val="single"/>
        </w:rPr>
        <w:t>website</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About Kestra</w:t>
      </w:r>
    </w:p>
    <w:p>
      <w:pPr>
        <w:pStyle w:val="TextBody"/>
        <w:bidi w:val="0"/>
        <w:jc w:val="both"/>
        <w:rPr>
          <w:rFonts w:ascii="Times New Roman" w:hAnsi="Times New Roman"/>
          <w:sz w:val="24"/>
        </w:rPr>
      </w:pPr>
      <w:r>
        <w:rPr>
          <w:rFonts w:ascii="Times New Roman" w:hAnsi="Times New Roman"/>
          <w:color w:val="000000"/>
          <w:sz w:val="24"/>
        </w:rPr>
        <w:t xml:space="preserve">Kestra Medical Technologies, Ltd. is a leading wearable medical device and digital healthcare company focused on transforming patient outcomes in cardiovascular disease using monitoring and therapeutic intervention technologies that are intuitive, intelligent, and connected. For more information, visit </w:t>
      </w:r>
      <w:r>
        <w:rPr>
          <w:rFonts w:ascii="Times New Roman" w:hAnsi="Times New Roman"/>
          <w:color w:val="467886"/>
          <w:sz w:val="24"/>
          <w:u w:val="single"/>
        </w:rPr>
        <w:t>www.kestramedical.com</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Use of Non-GAAP Financial Measures</w:t>
      </w:r>
    </w:p>
    <w:p>
      <w:pPr>
        <w:pStyle w:val="TextBody"/>
        <w:bidi w:val="0"/>
        <w:jc w:val="both"/>
        <w:rPr>
          <w:rFonts w:ascii="Times New Roman" w:hAnsi="Times New Roman"/>
          <w:color w:val="000000"/>
          <w:sz w:val="24"/>
        </w:rPr>
      </w:pPr>
      <w:r>
        <w:rPr>
          <w:rFonts w:ascii="Times New Roman" w:hAnsi="Times New Roman"/>
          <w:color w:val="000000"/>
          <w:sz w:val="24"/>
        </w:rPr>
        <w:t xml:space="preserve">This press release contains certain financial information that is not presented in conformity with U.S. generally accepted accounting principles (“GAAP”), including adjusted operating expense and adjusted EBITDA. The non-GAAP financial measures are provided as supplemental information to Kestra’s financial measures presented in this press release that are calculated and presented in accordance with GAAP.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Adjusted operating expense is calculated as operating expenses, as adjusted to exclude share-based compensation expense and non-recurring expenses. Adjusted EBITDA is calculated as net income (loss), as adjusted to exclude other income/expense (including interest), income tax expense (benefit), depreciation and amortization expense, share-based compensation expense, and non-recurring expenses. Both metrics are presented because management believes they will allow investors to view Kestra’s performance in a manner similar to the method used by management to evaluate Kestra’s performance for both strategic and annual operating planning. Management believes that in order to properly understand short-term and long-term financial trends, it is helpful for investors to understand the impact of the items excluded from the calculation of adjusted operating expenses and adjusted EBITDA, in addition to considering Kestra’s GAAP financial measures. The excluded items vary in frequency and/or impact on our results of operations and management believes that the excluded items are not reflective of our ongoing core business operations and financial condition. Excluding such items allows investors and analysts to compare our operating performance to other companies in our industry and to compare our period-over-period results.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non-GAAP financial measures used by Kestra may not be the same or calculated in the same manner as those used and calculated by other companies. Non-GAAP financial measures have limitations as analytical tools and should not be considered in isolation or as a substitute for Kestra’s financial results prepared and reported in accordance with GAAP. We urge investors to review the reconciliation of these non-GAAP financial measures to the comparable GAAP financial measures included in this press release, and not to rely on any single financial measure to evaluate our business. A reconciliation of adjusted operating expenses and adjusted EBITDA reported in this press release to the most comparable respective GAAP measure for the respective periods appears in the tables captioned “Reconciliation of GAAP Operating Expenses to Adjusted Operating Expenses” and “Reconciliation of GAAP Net Income (Loss) to Adjusted EBITDA” later in this release. Within the accompanying financial tables presented, certain columns and rows may not add due to the use of rounded numbers.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4"/>
        </w:rPr>
      </w:pPr>
      <w:r>
        <w:rPr>
          <w:rFonts w:ascii="Times New Roman" w:hAnsi="Times New Roman"/>
          <w:b/>
          <w:color w:val="000000"/>
          <w:sz w:val="24"/>
        </w:rPr>
        <w:t>Forward-Looking Statements</w:t>
      </w:r>
    </w:p>
    <w:p>
      <w:pPr>
        <w:pStyle w:val="TextBody"/>
        <w:bidi w:val="0"/>
        <w:jc w:val="both"/>
        <w:rPr>
          <w:rFonts w:ascii="Times New Roman" w:hAnsi="Times New Roman"/>
          <w:color w:val="000000"/>
          <w:sz w:val="24"/>
        </w:rPr>
      </w:pPr>
      <w:r>
        <w:rPr>
          <w:rFonts w:ascii="Times New Roman" w:hAnsi="Times New Roman"/>
          <w:color w:val="000000"/>
          <w:sz w:val="24"/>
        </w:rPr>
        <w:t>Except where otherwise noted, the information contained in this press release is as of September 14, 2026. Statements in this press release and on the related teleconference that express a belief, expectation or intention, as well as those that are not historical fact, are forward-looking statements. Except as required by law, Kestra undertakes no obligation to publicly update any forward-looking statements, whether as a result of new information, future events or otherwise. This press release contains forward-looking statements within the meaning of the Private Securities Litigation Reform Act of 1995, including statements about, among other topics, our anticipated operating and financial performance, including financial guidance and projections; business plans, strategy, goals and prospects, potential growth, and expectations for our products. Given their forward-looking nature, these statements involve substantial risks, uncertainties and potentially inaccurate assumptions, and we cannot ensure that any outcome expressed in these forward-looking statements will be realized in whole or in part. You can identify these statements by the fact that they use future dates or use words such as “will,” “may,” “could,” “likely,” “ongoing,” “continue,” “anticipate,” “estimate,” “expect,” “project,” “intend,” “plan,” “advance,” “remain,” “believe,” “assume,” “target,” “forecast,” “guidance,” “goal,” “objective,” “aim,” “seek,” “potential,” “hope” and other words and terms of similar meaning. Kestra’s financial guidance is based on estimates and assumptions that are subject to significant uncertainties. Among the factors that could cause actual results to differ materially from past results and future plans and projected future results are the following: risks related to our limited operating history and history of net losses; our ability to successfully achieve substantial market adoption of our products; competitive pressures; our ability to adapt our manufacturing and production capacities to evolving patterns of demand, governmental actions and customer trends; product defects or complaints and related liability; our ability to obtain and maintain adequate coverage and reimbursement levels for our products; our ability to comply with changing laws and regulatory requirements and resulting costs; our dependence on a limited number of suppliers; risks and uncertainties related to market conditions; and other risks and uncertainties, including those described under the heading “Risk Factors” in our Annual Report on Form 10-K for the fiscal year ended April 30, 2026 and other filings filed or to be filed with the U.S. Securities and Exchange Commission (“SEC”). These filings, when made, are available on the Investor Relations section of our website at https://investors.kestramedical.com/ and on the SEC’s website at https://sec.gov/.</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Investor Relations</w:t>
      </w:r>
    </w:p>
    <w:p>
      <w:pPr>
        <w:pStyle w:val="TextBody"/>
        <w:bidi w:val="0"/>
        <w:jc w:val="both"/>
        <w:rPr>
          <w:rFonts w:ascii="Times New Roman" w:hAnsi="Times New Roman"/>
          <w:color w:val="000000"/>
          <w:sz w:val="24"/>
        </w:rPr>
      </w:pPr>
      <w:r>
        <w:rPr>
          <w:rFonts w:ascii="Times New Roman" w:hAnsi="Times New Roman"/>
          <w:color w:val="000000"/>
          <w:sz w:val="24"/>
        </w:rPr>
        <w:t>Neil Bhalodkar</w:t>
      </w:r>
    </w:p>
    <w:p>
      <w:pPr>
        <w:pStyle w:val="TextBody"/>
        <w:bidi w:val="0"/>
        <w:jc w:val="both"/>
        <w:rPr>
          <w:rFonts w:ascii="Times New Roman" w:hAnsi="Times New Roman"/>
          <w:color w:val="000000"/>
          <w:sz w:val="24"/>
        </w:rPr>
      </w:pPr>
      <w:r>
        <w:rPr>
          <w:rFonts w:ascii="Times New Roman" w:hAnsi="Times New Roman"/>
          <w:color w:val="000000"/>
          <w:sz w:val="24"/>
        </w:rPr>
        <w:t>neil.bhalodkar@kestramedical.com</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spacing w:before="0" w:after="16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KESTRA MEDICAL TECHNOLOGIES, LTD.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774" w:type="dxa"/>
        <w:jc w:val="left"/>
        <w:tblInd w:w="0" w:type="dxa"/>
        <w:tblLayout w:type="fixed"/>
        <w:tblCellMar>
          <w:top w:w="28" w:type="dxa"/>
          <w:left w:w="28" w:type="dxa"/>
          <w:bottom w:w="28" w:type="dxa"/>
          <w:right w:w="28" w:type="dxa"/>
        </w:tblCellMar>
      </w:tblPr>
      <w:tblGrid>
        <w:gridCol w:w="6031"/>
        <w:gridCol w:w="146"/>
        <w:gridCol w:w="211"/>
        <w:gridCol w:w="1036"/>
        <w:gridCol w:w="166"/>
        <w:gridCol w:w="146"/>
        <w:gridCol w:w="211"/>
        <w:gridCol w:w="1036"/>
        <w:gridCol w:w="79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58,566,467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51,304,599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32"/>
        <w:gridCol w:w="146"/>
        <w:gridCol w:w="211"/>
        <w:gridCol w:w="841"/>
        <w:gridCol w:w="166"/>
        <w:gridCol w:w="146"/>
        <w:gridCol w:w="211"/>
        <w:gridCol w:w="841"/>
        <w:gridCol w:w="511"/>
      </w:tblGrid>
      <w:tr>
        <w:trPr/>
        <w:tc>
          <w:tcPr>
            <w:tcW w:w="7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Disposable medical equipment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222,359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Shares, $1.00 par value; 100,000,000 shares authorized as of July 31, 2026 and April 30, 2026; 59,271,885 issued and outstanding as of July 31, 2026 and 58,383,924 shares issued and outstanding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(651,861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259,658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52"/>
        <w:gridCol w:w="746"/>
        <w:gridCol w:w="211"/>
        <w:gridCol w:w="781"/>
        <w:gridCol w:w="766"/>
        <w:gridCol w:w="746"/>
        <w:gridCol w:w="211"/>
        <w:gridCol w:w="781"/>
        <w:gridCol w:w="811"/>
      </w:tblGrid>
      <w:tr>
        <w:trPr/>
        <w:tc>
          <w:tcPr>
            <w:tcW w:w="515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(44,087</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 for equipment and supplies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(Recovery) provision for uncollectible 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(accretion) of premiums (discounts) on securities,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discounts and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Disposable medical equipment supplies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for medical rental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Refund of deposits for medical rental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(13,017</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(21,352</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long-term debt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long-term debt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(46,395</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early termination fee on debt repayment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IPO offering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equity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Deemed dividend for payments to third party on behalf of shareholder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withholdings on restricted stock unit vesting</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(31,152</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Cash, cash equivalents and 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100,044</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237,929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68,892</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RECONCILIATION OF CASH AND CASH EQUIVALENTS TO CASH, CASH EQUIVALENTS AND INVESTMENTS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6989" w:type="dxa"/>
        <w:jc w:val="left"/>
        <w:tblInd w:w="0" w:type="dxa"/>
        <w:tblLayout w:type="fixed"/>
        <w:tblCellMar>
          <w:top w:w="28" w:type="dxa"/>
          <w:left w:w="28" w:type="dxa"/>
          <w:bottom w:w="28" w:type="dxa"/>
          <w:right w:w="28" w:type="dxa"/>
        </w:tblCellMar>
      </w:tblPr>
      <w:tblGrid>
        <w:gridCol w:w="3576"/>
        <w:gridCol w:w="346"/>
        <w:gridCol w:w="211"/>
        <w:gridCol w:w="781"/>
        <w:gridCol w:w="346"/>
        <w:gridCol w:w="346"/>
        <w:gridCol w:w="211"/>
        <w:gridCol w:w="781"/>
        <w:gridCol w:w="391"/>
      </w:tblGrid>
      <w:tr>
        <w:trPr/>
        <w:tc>
          <w:tcPr>
            <w:tcW w:w="35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Long-term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LOSS TO ADJUSTED EBITDA</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6283" w:type="dxa"/>
        <w:jc w:val="left"/>
        <w:tblInd w:w="0" w:type="dxa"/>
        <w:tblLayout w:type="fixed"/>
        <w:tblCellMar>
          <w:top w:w="28" w:type="dxa"/>
          <w:left w:w="28" w:type="dxa"/>
          <w:bottom w:w="28" w:type="dxa"/>
          <w:right w:w="28" w:type="dxa"/>
        </w:tblCellMar>
      </w:tblPr>
      <w:tblGrid>
        <w:gridCol w:w="3086"/>
        <w:gridCol w:w="146"/>
        <w:gridCol w:w="248"/>
        <w:gridCol w:w="866"/>
        <w:gridCol w:w="195"/>
        <w:gridCol w:w="171"/>
        <w:gridCol w:w="248"/>
        <w:gridCol w:w="866"/>
        <w:gridCol w:w="166"/>
        <w:gridCol w:w="291"/>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Non-recurring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(24,046</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OPERATING EXPENSES TO ADJUSTED OPERATING EXPENSES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6263" w:type="dxa"/>
        <w:jc w:val="left"/>
        <w:tblInd w:w="0" w:type="dxa"/>
        <w:tblLayout w:type="fixed"/>
        <w:tblCellMar>
          <w:top w:w="28" w:type="dxa"/>
          <w:left w:w="28" w:type="dxa"/>
          <w:bottom w:w="28" w:type="dxa"/>
          <w:right w:w="28" w:type="dxa"/>
        </w:tblCellMar>
      </w:tblPr>
      <w:tblGrid>
        <w:gridCol w:w="3086"/>
        <w:gridCol w:w="146"/>
        <w:gridCol w:w="265"/>
        <w:gridCol w:w="849"/>
        <w:gridCol w:w="183"/>
        <w:gridCol w:w="183"/>
        <w:gridCol w:w="265"/>
        <w:gridCol w:w="849"/>
        <w:gridCol w:w="146"/>
        <w:gridCol w:w="291"/>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Non-recurring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2847</Words>
  <Characters>16444</Characters>
  <CharactersWithSpaces>19610</CharactersWithSpaces>
  <Paragraphs>1428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