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877184-20260909.htm"/>
      <w:bookmarkStart w:id="1" w:name="ksck0001877184202609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KESTRA MEDICAL TECHNOLOGIES, LTD.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51" w:type="dxa"/>
        <w:jc w:val="left"/>
        <w:tblInd w:w="0" w:type="dxa"/>
        <w:tblLayout w:type="fixed"/>
        <w:tblCellMar>
          <w:top w:w="28" w:type="dxa"/>
          <w:left w:w="28" w:type="dxa"/>
          <w:bottom w:w="28" w:type="dxa"/>
          <w:right w:w="28" w:type="dxa"/>
        </w:tblCellMar>
      </w:tblPr>
      <w:tblGrid>
        <w:gridCol w:w="1026"/>
        <w:gridCol w:w="930"/>
        <w:gridCol w:w="938"/>
        <w:gridCol w:w="1846"/>
        <w:gridCol w:w="1411"/>
      </w:tblGrid>
      <w:tr>
        <w:trPr/>
        <w:tc>
          <w:tcPr>
            <w:tcW w:w="10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Bermuda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001-42549</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3933 Lake Washington Blvd NE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25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Kirkland,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98033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(425)</w:t>
            </w:r>
            <w:r>
              <w:rPr>
                <w:rFonts w:ascii="Times New Roman" w:hAnsi="Times New Roman"/>
                <w:color w:val="000000"/>
                <w:sz w:val="20"/>
              </w:rPr>
              <w:t xml:space="preserve"> </w:t>
            </w:r>
            <w:r>
              <w:rPr>
                <w:rFonts w:ascii="Times New Roman" w:hAnsi="Times New Roman"/>
                <w:b/>
                <w:color w:val="000000"/>
                <w:sz w:val="20"/>
              </w:rPr>
              <w:t>279-8002</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20" w:type="dxa"/>
        <w:jc w:val="left"/>
        <w:tblInd w:w="0" w:type="dxa"/>
        <w:tblLayout w:type="fixed"/>
        <w:tblCellMar>
          <w:top w:w="28" w:type="dxa"/>
          <w:left w:w="28" w:type="dxa"/>
          <w:bottom w:w="28" w:type="dxa"/>
          <w:right w:w="28" w:type="dxa"/>
        </w:tblCellMar>
      </w:tblPr>
      <w:tblGrid>
        <w:gridCol w:w="3556"/>
        <w:gridCol w:w="146"/>
        <w:gridCol w:w="946"/>
        <w:gridCol w:w="146"/>
        <w:gridCol w:w="382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par value $1.00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KMTS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The Kestra Medical Technologies, Ltd. (the “Company”) 2026 annual general meeting of shareholders (the “2026 Annual Meeting”) was held on September 9, 2026. The total number of the Company’s common shares voted in person or by proxy at the 2026 Annual Meeting was 55,399,491, representing approximately 94.53% of the 58,603,121 shares that were outstanding and entitled to vote as of July 17, 2026, the record date of the 2026 Annual Meeting. Voting results for each matter submitted to a vote at the 2026 Annual Meeting are provided below.</w:t>
      </w:r>
    </w:p>
    <w:p>
      <w:pPr>
        <w:pStyle w:val="TextBody"/>
        <w:bidi w:val="0"/>
        <w:jc w:val="left"/>
        <w:rPr>
          <w:rFonts w:ascii="Times New Roman" w:hAnsi="Times New Roman"/>
          <w:b/>
          <w:color w:val="000000"/>
          <w:sz w:val="20"/>
        </w:rPr>
      </w:pPr>
      <w:r>
        <w:rPr>
          <w:rFonts w:ascii="Times New Roman" w:hAnsi="Times New Roman"/>
          <w:b/>
          <w:color w:val="000000"/>
          <w:sz w:val="20"/>
        </w:rPr>
        <w:t>Proposal 1 - Election of Directors</w:t>
      </w:r>
    </w:p>
    <w:p>
      <w:pPr>
        <w:pStyle w:val="TextBody"/>
        <w:bidi w:val="0"/>
        <w:jc w:val="left"/>
        <w:rPr>
          <w:rFonts w:ascii="Times New Roman" w:hAnsi="Times New Roman"/>
          <w:color w:val="000000"/>
          <w:sz w:val="20"/>
        </w:rPr>
      </w:pPr>
      <w:r>
        <w:rPr>
          <w:rFonts w:ascii="Times New Roman" w:hAnsi="Times New Roman"/>
          <w:color w:val="000000"/>
          <w:sz w:val="20"/>
        </w:rPr>
        <w:t>The shareholders elected each of the three persons named below to serve as Class II directors until the Company’s 2029 annual meeting of shareholders and until their successors are duly elected and qualified, with the vote totals as set forth in the table below:</w:t>
      </w:r>
    </w:p>
    <w:p>
      <w:pPr>
        <w:pStyle w:val="TextBody"/>
        <w:bidi w:val="0"/>
        <w:jc w:val="left"/>
        <w:rPr/>
      </w:pPr>
      <w:r>
        <w:rPr/>
        <w:t> </w:t>
      </w:r>
    </w:p>
    <w:p>
      <w:pPr>
        <w:pStyle w:val="TextBody"/>
        <w:bidi w:val="0"/>
        <w:jc w:val="left"/>
        <w:rPr/>
      </w:pPr>
      <w:r>
        <w:rPr/>
        <w:t> </w:t>
      </w:r>
    </w:p>
    <w:tbl>
      <w:tblPr>
        <w:tblW w:w="6200" w:type="dxa"/>
        <w:jc w:val="left"/>
        <w:tblInd w:w="0" w:type="dxa"/>
        <w:tblLayout w:type="fixed"/>
        <w:tblCellMar>
          <w:top w:w="28" w:type="dxa"/>
          <w:left w:w="28" w:type="dxa"/>
          <w:bottom w:w="28" w:type="dxa"/>
          <w:right w:w="28" w:type="dxa"/>
        </w:tblCellMar>
      </w:tblPr>
      <w:tblGrid>
        <w:gridCol w:w="1771"/>
        <w:gridCol w:w="1036"/>
        <w:gridCol w:w="1036"/>
        <w:gridCol w:w="751"/>
        <w:gridCol w:w="1606"/>
      </w:tblGrid>
      <w:tr>
        <w:trPr/>
        <w:tc>
          <w:tcPr>
            <w:tcW w:w="177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771" w:type="dxa"/>
            <w:tcBorders>
              <w:top w:val="single" w:sz="4" w:space="0" w:color="BFBFBF"/>
              <w:left w:val="single" w:sz="4" w:space="0" w:color="BFBFBF"/>
              <w:bottom w:val="single" w:sz="4" w:space="0" w:color="BFBFBF"/>
              <w:right w:val="single" w:sz="4" w:space="0" w:color="BFBFBF"/>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Nominee</w:t>
            </w:r>
          </w:p>
        </w:tc>
        <w:tc>
          <w:tcPr>
            <w:tcW w:w="1036"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36"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51"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06"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w:t>
            </w:r>
          </w:p>
        </w:tc>
      </w:tr>
      <w:tr>
        <w:trPr/>
        <w:tc>
          <w:tcPr>
            <w:tcW w:w="177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W. Cohen</w:t>
            </w:r>
          </w:p>
        </w:tc>
        <w:tc>
          <w:tcPr>
            <w:tcW w:w="103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37,334,685</w:t>
            </w:r>
          </w:p>
        </w:tc>
        <w:tc>
          <w:tcPr>
            <w:tcW w:w="103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10,779,640</w:t>
            </w:r>
          </w:p>
        </w:tc>
        <w:tc>
          <w:tcPr>
            <w:tcW w:w="75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34,843</w:t>
            </w:r>
          </w:p>
        </w:tc>
        <w:tc>
          <w:tcPr>
            <w:tcW w:w="160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7,259,323</w:t>
            </w:r>
          </w:p>
        </w:tc>
      </w:tr>
      <w:tr>
        <w:trPr/>
        <w:tc>
          <w:tcPr>
            <w:tcW w:w="177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Reilly</w:t>
            </w:r>
          </w:p>
        </w:tc>
        <w:tc>
          <w:tcPr>
            <w:tcW w:w="103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38,900,190</w:t>
            </w:r>
          </w:p>
        </w:tc>
        <w:tc>
          <w:tcPr>
            <w:tcW w:w="103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9,204,737</w:t>
            </w:r>
          </w:p>
        </w:tc>
        <w:tc>
          <w:tcPr>
            <w:tcW w:w="75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35,241</w:t>
            </w:r>
          </w:p>
        </w:tc>
        <w:tc>
          <w:tcPr>
            <w:tcW w:w="160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7,259,323</w:t>
            </w:r>
          </w:p>
        </w:tc>
      </w:tr>
      <w:tr>
        <w:trPr/>
        <w:tc>
          <w:tcPr>
            <w:tcW w:w="177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Traci S. Umberger</w:t>
            </w:r>
          </w:p>
        </w:tc>
        <w:tc>
          <w:tcPr>
            <w:tcW w:w="103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38,866,030</w:t>
            </w:r>
          </w:p>
        </w:tc>
        <w:tc>
          <w:tcPr>
            <w:tcW w:w="103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9,238,943</w:t>
            </w:r>
          </w:p>
        </w:tc>
        <w:tc>
          <w:tcPr>
            <w:tcW w:w="75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35,195</w:t>
            </w:r>
          </w:p>
        </w:tc>
        <w:tc>
          <w:tcPr>
            <w:tcW w:w="160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7,259,323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2 - Ratification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shareholders ratified the appointment of PricewaterhouseCoopers as the Company’s independent registered public accounting firm for the fiscal year ending April 30, 2027, with the vote totals set forth in the table below:</w:t>
      </w:r>
    </w:p>
    <w:p>
      <w:pPr>
        <w:pStyle w:val="TextBody"/>
        <w:bidi w:val="0"/>
        <w:jc w:val="left"/>
        <w:rPr/>
      </w:pPr>
      <w:r>
        <w:rPr/>
        <w:t> </w:t>
      </w:r>
    </w:p>
    <w:tbl>
      <w:tblPr>
        <w:tblW w:w="2598" w:type="dxa"/>
        <w:jc w:val="left"/>
        <w:tblInd w:w="0" w:type="dxa"/>
        <w:tblLayout w:type="fixed"/>
        <w:tblCellMar>
          <w:top w:w="28" w:type="dxa"/>
          <w:left w:w="28" w:type="dxa"/>
          <w:bottom w:w="28" w:type="dxa"/>
          <w:right w:w="28" w:type="dxa"/>
        </w:tblCellMar>
      </w:tblPr>
      <w:tblGrid>
        <w:gridCol w:w="1051"/>
        <w:gridCol w:w="751"/>
        <w:gridCol w:w="796"/>
      </w:tblGrid>
      <w:tr>
        <w:trPr/>
        <w:tc>
          <w:tcPr>
            <w:tcW w:w="10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051" w:type="dxa"/>
            <w:tcBorders>
              <w:top w:val="single" w:sz="4" w:space="0" w:color="BFBFBF"/>
              <w:left w:val="single" w:sz="4" w:space="0" w:color="BFBFBF"/>
              <w:bottom w:val="single" w:sz="4" w:space="0" w:color="BFBFBF"/>
              <w:right w:val="single" w:sz="4" w:space="0" w:color="BFBFBF"/>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751"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96"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r>
      <w:tr>
        <w:trPr/>
        <w:tc>
          <w:tcPr>
            <w:tcW w:w="105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55,356,225</w:t>
            </w:r>
          </w:p>
        </w:tc>
        <w:tc>
          <w:tcPr>
            <w:tcW w:w="75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8,469</w:t>
            </w:r>
          </w:p>
        </w:tc>
        <w:tc>
          <w:tcPr>
            <w:tcW w:w="79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34,797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72" w:type="dxa"/>
        <w:jc w:val="left"/>
        <w:tblInd w:w="0" w:type="dxa"/>
        <w:tblLayout w:type="fixed"/>
        <w:tblCellMar>
          <w:top w:w="28" w:type="dxa"/>
          <w:left w:w="28" w:type="dxa"/>
          <w:bottom w:w="28" w:type="dxa"/>
          <w:right w:w="28" w:type="dxa"/>
        </w:tblCellMar>
      </w:tblPr>
      <w:tblGrid>
        <w:gridCol w:w="2221"/>
        <w:gridCol w:w="109"/>
        <w:gridCol w:w="631"/>
        <w:gridCol w:w="3211"/>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Kestra Medical Technologies, Ltd.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3226</Characters>
  <CharactersWithSpaces>3767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