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40" w:right="1580" w:hanging="3719"/>
        <w:spacing w:after="0" w:line="365" w:lineRule="auto"/>
        <w:tabs>
          <w:tab w:leader="none" w:pos="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January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040" w:right="1600" w:hanging="4019"/>
        <w:spacing w:after="0" w:line="352"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Kestra Medical Technologies, Ltd.</w:t>
      </w:r>
    </w:p>
    <w:p>
      <w:pPr>
        <w:sectPr>
          <w:pgSz w:w="11900" w:h="16838" w:orient="portrait"/>
          <w:cols w:equalWidth="0" w:num="1">
            <w:col w:w="11240"/>
          </w:cols>
          <w:pgMar w:left="320" w:top="1415"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3933 Lake Washington Blvd NE, Suite 200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Kirkland, WA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8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1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98003</w:t>
      </w:r>
    </w:p>
    <w:p>
      <w:pPr>
        <w:spacing w:after="0" w:line="27" w:lineRule="exact"/>
        <w:rPr>
          <w:sz w:val="24"/>
          <w:szCs w:val="24"/>
          <w:color w:val="auto"/>
        </w:rPr>
      </w:pPr>
    </w:p>
    <w:p>
      <w:pPr>
        <w:sectPr>
          <w:pgSz w:w="11900" w:h="16838" w:orient="portrait"/>
          <w:cols w:equalWidth="0" w:num="2">
            <w:col w:w="7700" w:space="160"/>
            <w:col w:w="3380"/>
          </w:cols>
          <w:pgMar w:left="320" w:top="1415"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279-8002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par value $1.00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KMTS</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17, 2025, the registrant had 51,348,656 Common Shares,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tc>
        <w:tc>
          <w:tcPr>
            <w:tcW w:w="7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Unaudited Condensed Balance Sheets of Kestra Medical Technologies, Ltd.</w:t>
            </w:r>
          </w:p>
        </w:tc>
        <w:tc>
          <w:tcPr>
            <w:tcW w:w="7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Condensed Balance Sheets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Balance Sheets</w:t>
            </w:r>
          </w:p>
        </w:tc>
        <w:tc>
          <w:tcPr>
            <w:tcW w:w="67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3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West Affum Intermediate Holdings Corp.</w:t>
            </w:r>
          </w:p>
        </w:tc>
        <w:tc>
          <w:tcPr>
            <w:tcW w:w="7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of West Affum Intermediate Holdings Corp.</w:t>
            </w:r>
          </w:p>
        </w:tc>
        <w:tc>
          <w:tcPr>
            <w:tcW w:w="7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20" w:type="dxa"/>
            <w:vAlign w:val="bottom"/>
            <w:tcBorders>
              <w:bottom w:val="single" w:sz="8" w:color="0000EE"/>
            </w:tcBorders>
          </w:tcPr>
          <w:p>
            <w:pPr>
              <w:spacing w:after="0"/>
              <w:rPr>
                <w:sz w:val="17"/>
                <w:szCs w:val="17"/>
                <w:color w:val="auto"/>
              </w:rPr>
            </w:pPr>
          </w:p>
        </w:tc>
        <w:tc>
          <w:tcPr>
            <w:tcW w:w="3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Redeemable Preferred Stock and Stockholder’s Deficit</w:t>
            </w:r>
          </w:p>
        </w:tc>
        <w:tc>
          <w:tcPr>
            <w:tcW w:w="1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412"/>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36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9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1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45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gridSpan w:val="17"/>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March 7, 2025, Kestra Medical Technologies, Ltd. completed its initial public offering of its Common Shares, par value $1.00 per share (the “Common Shares”). Kestra Medical Technologies, Ltd. was formed solely for the purpose of completing the initial public offering and prior to the consummation of the initial public offering, did not engage in any business or activities other than those incidental to its formation, the organizational transactions consummated in connection with the initial public offering and the preparation of the prospectus and registration statement in connection with the initial public offering. Prior to the consummation of the initial public offering, the Company’s business was conducted through West Affum Intermediate Holdings Corp. In connection with the initial public offering, certain organizational transactions were completed, pursuant to which West Affum Intermediate Holdings Corp. became a wholly owned subsidiary of Kestra Medical Technologies, Ltd. West Affum Intermediate Holdings Corp. is the predecessor to Kestra Medical Technologies, Ltd. for financial reporting purposes. As such, the unaudited condensed balance sheets of Kestra Medical Technologies, Ltd. as of January 31, 2025 and April 30, 2024, and the unaudited condensed consolidated financial statements of West Affum Intermediate Holdings Corp. as of January 31, 2025 and April 30, 2024 and for the three months ended January 31, 2025 and January 31, 2024 (and the comparative period) are each included in this Quarterly Report on Form 10-Q.</w:t>
      </w:r>
    </w:p>
    <w:p>
      <w:pPr>
        <w:spacing w:after="0" w:line="84"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color w:val="auto"/>
        </w:rPr>
        <w:t>Except as otherwise indicated or the context requires, “Kestra,” the “Company,” “we,” “our,” “us” and other similar terms refer collectively to West Affum Intermediate Holdings Corp. and its consolidated subsidiaries for periods prior to the consummation of the initial public offering, and to Kestra Medical Technologies, Ltd. and its consolidated subsidiaries for periods following the consummation of the initial public offering.</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spacing w:after="0" w:line="7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our expectations are described in Part II, Item 1A, “Risk Factors” and elsewhere in this Quarterly Report on Form 10-Q, and include, but are not limited to, the following:</w:t>
      </w:r>
    </w:p>
    <w:p>
      <w:pPr>
        <w:spacing w:after="0" w:line="54" w:lineRule="exact"/>
        <w:rPr>
          <w:sz w:val="20"/>
          <w:szCs w:val="20"/>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the commercialization of our ASSURE WCD, including associated products and services as part of our Cardiac Recovery System platform, or to commercialize any future product candidates and begin generating revenue;</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for our ASSURE WCD and to obtain new regulatory approvals necessary to distribute our ASSURE WCD in new markets or to distribute additional products we develop in the future;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ASSURE WCD or any future product candidates that receive the necessary marketing and other regulatory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the manufacturing of our ASSURE WCD, obtain sufficient and timely supplies of components necessary to manufacture our ASSURE WCD and effectively manage inventory and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senior management and sales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and near-term achievable market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or clearances;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this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plans, including our plans to enter into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defend ourselves against claims of infringement;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regulatory landscape;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changes in market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other factors described in the section titled “Risk Factors” in our prospectus dated March 5, 2025 (File No. 333-284807) (the “IPO Prospectus”) as filed with the Securities and Exchange Commission (the “SEC”) on March 6, 2025 pursuant to Rule 424(b)(4) under the Securities Act of 1933, as amended (the “Securities Act”) and in periodic reports that we file with the SEC, and our reports to shareholders. These filings are available at www.sec.gov and on our website.</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Given these uncertainties, we cannot assure you that the forward-looking statements in this Quarterly Report on Form 10-Q will prove to be accurate. Also, forward-looking statements represent our management’s beliefs and assumptions only as of the date of this Quarterly Report on Form 10-Q and should not be relied upon as representing our expectations or beliefs as of any date subsequent to the time they are made. The Company does not undertake to and specifically declines any obligation to update any forward-looking statements that may be made from time to time by or on behalf of the Company.</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 w:name="page5"/>
    <w:bookmarkEnd w:id="4"/>
    <w:p>
      <w:pPr>
        <w:ind w:firstLine="74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in conjunction with the audited consolidated financial statements and the related notes thereto as of and for the year ended April 30, 2024, included in the IPO Prospectus.</w:t>
      </w: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93"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i w:val="1"/>
          <w:iCs w:val="1"/>
          <w:color w:val="auto"/>
        </w:rPr>
        <w:t>(in dollars)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7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88"/>
        </w:trPr>
        <w:tc>
          <w:tcPr>
            <w:tcW w:w="7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w:t>
            </w: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Shares subscription receivable from West Affum Holdings, L.P.</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Ordinary Shares, $1.00 par value; 100 shares authorized, issued and outstanding</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balance sheets.</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6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-1053465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KESTRA MEDICAL TECHNOLOGIES, LTD.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NOTES TO UNAUDITED CONDENSED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Kestra Medical Technologies, Ltd. (the “Company”) was formed as a limited company in Bermuda on May 20, 2021 and is a wholly owned subsidiary of West Affum Holdings, L.P. (“West Affum LP”), a company in the Cayman Islands. The Company was formed for the purpose of completing a public offering and related transactions to carry on the business of West Affum Intermediate Holdings Corp. and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interim condensed balance sheets are presented in accordance with the rules and regulations of the Securities and Exchange Commission and generally accepted accounting principles in the United States of America. Separate statements of income, comprehensive income, changes in shareholder’s equity, and cash flows have not been presented because the Company has not engaged in any activities except in connection with its 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 is April 30.</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balance sheets have been prepared assuming the Company will continue as a going concern, which contemplates, among other things, the realization of assets and satisfaction of liabilities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and April 30, 2024, the Company has no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Shareholder’s Equity</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January 31, 2025 and April 30, 2024, the Company has authorized for issuance 100 Ordinary Shares with $1.00 par value, all of which are outstanding with $100 shares subscription receivable from West Affum LP accounted for as contra-equity on the unaudited interim condensed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7, 2025, the Company completed an initial public offering of 11,882,352 Common Shares at an offering price of $17.00 per share (the “IPO”).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14, 2025, the underwriters purchased an additional 1,782,352 Common Shares at an offering price of $17.00 per share.</w:t>
      </w:r>
    </w:p>
    <w:p>
      <w:pPr>
        <w:spacing w:after="0" w:line="9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In connection with the IPO, the board of directors and sole shareholder of the Company approved an increase in its authorized share capital and a redesignation of its Ordinary Shares into Common Shares, as a result of which the Company’s authorized share capital at the time of the IPO was $100,000,000 divided into 100,000,000 Common Shares of par value $1.00 per share.</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West Affum LP contributed all its equity interests, including preferred shares, in West Affum Intermediate Holdings Corp. (“Intermediate Holdings”) to the Company in exchange for Common Shares of the Company, thereby making Kestra Medical Technologies, Ltd. the top parent company of Intermediate Holdings and all of its subsidiaries (collectively, the “Organizational Transactions”). Together with the IPO, the Company completed the Organizational Transactions that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will consolidate Intermediate Holdings following the Organizational Transactions. The Company delivered 37,683,952 Common Shares with a par value of $1.00 per share to the holders of West Affum LP Class A common units and incentive units, including 32,485 Common Shares of the Company that will be subject to vesting conditions, in consideration for the exchange of such holders’ interests in West Affum LP, and also including a third-party investor in West Affum Holdings Designated Activity Company, a subsidiary of Intermediate Holdings. Company is still assessing the income tax impacts of the Organizational Transactions.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West Affum LP will continue to hold Common Shares of the Company for the benefit of the holders of common units in West Affum LP, including an affiliate of Bain Capital, until such time that such Common Shares are distributed by West Affum LP to the remaining partners of West Affum LP, which is currently expected to occur approximately nine months after the consummation of the IPO (the “Post-IPO Distribution”). The allocation of the number of Common Shares of the Company held by West Affum LP among the holders of common units in West Affum LP in the Post-IPO Distribution will be determined in reference to the liquidation value of West Affum LP at the time of such Post-IPO Distribution.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7" w:name="page8"/>
    <w:bookmarkEnd w:id="7"/>
    <w:p>
      <w:pPr>
        <w:ind w:right="200"/>
        <w:spacing w:after="0" w:line="266" w:lineRule="auto"/>
        <w:rPr>
          <w:sz w:val="20"/>
          <w:szCs w:val="20"/>
          <w:color w:val="auto"/>
        </w:rPr>
      </w:pPr>
      <w:r>
        <w:rPr>
          <w:rFonts w:ascii="Times New Roman" w:cs="Times New Roman" w:eastAsia="Times New Roman" w:hAnsi="Times New Roman"/>
          <w:sz w:val="18"/>
          <w:szCs w:val="18"/>
          <w:color w:val="auto"/>
        </w:rPr>
        <w:t>All equity incentive units (“Incentive Units”) of West Affum LP were accelerated at time of exchange while the Class A common units continue to vest subject to the original vesting schedule. The Company also entered into the 2025 Omnibus Incentive Plan to grant eligible individuals stock options in order to attract, retain and reward such individuals and strengthen the mutuality of interests between such individuals and the Company’s stockholders.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$187.6 million after deducting underwriting discounts and commissions of $14.4 million. On March 14, 2025, the underwriters purchased an additional 1,782,352 Common Shares at an offering price of $17.00 per share and received additional net proceeds of $28.2 million after deducting underwriting discounts and commissions of $2.1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IPO of Common Shares of the Company on March 7, 2025, the warrant issued to Perceptive Credit Holdings IV, LP on September 29, 2023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and replaced with a new warrant to purchase up to 325,847 Common Shares of Kestra Medical Technologies, Ltd. with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$11.54. In addition, upon the funding of additional amounts under the third tranche, the Company will issue warrants equal to 10% of the amount 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issued warrants to Kennedy Lewis Capital Partners Master Fund II LP on March 7, 2025 to purchase up to 62,325 Common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an exercise price of $17.81 per Common Share and 46,744 Common Shares of the Company with an exercise price of $20.65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1B.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AFFUM INTERMEDIATE HOLDINGS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4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0" w:type="dxa"/>
            <w:vAlign w:val="bottom"/>
          </w:tcPr>
          <w:p>
            <w:pPr>
              <w:spacing w:after="0"/>
              <w:rPr>
                <w:sz w:val="1"/>
                <w:szCs w:val="1"/>
                <w:color w:val="auto"/>
              </w:rPr>
            </w:pPr>
          </w:p>
        </w:tc>
      </w:tr>
      <w:tr>
        <w:trPr>
          <w:trHeight w:val="88"/>
        </w:trPr>
        <w:tc>
          <w:tcPr>
            <w:tcW w:w="7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107,995</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Preferred Stock and Stockholder’s Deficit</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7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85,380</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7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 $0.01 par value; 5,000,000 shares authorized; 280,510 and</w:t>
            </w:r>
          </w:p>
        </w:tc>
        <w:tc>
          <w:tcPr>
            <w:tcW w:w="18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177,110 shares issued and outstanding as of January 31, 2025 and April 30, 2024, respectively</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$0.01 par value; 5,000,000 shares authorized; 105,808 shares issued and</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(468,196 )</w:t>
            </w: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(406,435 )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West Affum Intermediate Holdings Corp. stockholder’s deficit</w:t>
            </w:r>
          </w:p>
        </w:tc>
        <w:tc>
          <w:tcPr>
            <w:tcW w:w="1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(274,053 )</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(209,377 )</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(257,895 )</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(209,377 )</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107,995</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-3350895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-3333750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-2716530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-2099310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-462280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WEST AFFUM INTERMEDIATE HOLDINGS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00" w:type="dxa"/>
            <w:vAlign w:val="bottom"/>
          </w:tcPr>
          <w:p>
            <w:pPr>
              <w:spacing w:after="0"/>
              <w:rPr>
                <w:sz w:val="20"/>
                <w:szCs w:val="20"/>
                <w:color w:val="auto"/>
              </w:rPr>
            </w:pPr>
          </w:p>
        </w:tc>
        <w:tc>
          <w:tcPr>
            <w:tcW w:w="29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(1,035 )</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(20,601 )</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(19,946 )</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(58,166 )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(64,714 )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(628 )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(1,543 )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(21,741 )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(21,605 )</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(62,670 )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(71,785 )</w:t>
            </w: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(21,759 )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(21,619 )</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(62,703 )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(71,836 )</w:t>
            </w: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(250 )</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(942 )</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and comprehensive loss attributable to West Affum</w:t>
            </w:r>
          </w:p>
        </w:tc>
        <w:tc>
          <w:tcPr>
            <w:tcW w:w="120" w:type="dxa"/>
            <w:vAlign w:val="bottom"/>
            <w:shd w:val="clear" w:color="auto" w:fill="CFF0FC"/>
          </w:tcPr>
          <w:p>
            <w:pPr>
              <w:spacing w:after="0"/>
              <w:rPr>
                <w:sz w:val="16"/>
                <w:szCs w:val="16"/>
                <w:color w:val="auto"/>
              </w:rPr>
            </w:pPr>
          </w:p>
        </w:tc>
        <w:tc>
          <w:tcPr>
            <w:tcW w:w="1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(21,509 )</w:t>
            </w:r>
          </w:p>
        </w:tc>
        <w:tc>
          <w:tcPr>
            <w:tcW w:w="260" w:type="dxa"/>
            <w:vAlign w:val="bottom"/>
            <w:shd w:val="clear" w:color="auto" w:fill="CFF0FC"/>
          </w:tcPr>
          <w:p>
            <w:pPr>
              <w:spacing w:after="0"/>
              <w:rPr>
                <w:sz w:val="16"/>
                <w:szCs w:val="16"/>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(21,619 )</w:t>
            </w:r>
          </w:p>
        </w:tc>
        <w:tc>
          <w:tcPr>
            <w:tcW w:w="200" w:type="dxa"/>
            <w:vAlign w:val="bottom"/>
            <w:shd w:val="clear" w:color="auto" w:fill="CFF0FC"/>
          </w:tcPr>
          <w:p>
            <w:pPr>
              <w:spacing w:after="0"/>
              <w:rPr>
                <w:sz w:val="16"/>
                <w:szCs w:val="16"/>
                <w:color w:val="auto"/>
              </w:rPr>
            </w:pPr>
          </w:p>
        </w:tc>
        <w:tc>
          <w:tcPr>
            <w:tcW w:w="1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(61,761 )</w:t>
            </w:r>
          </w:p>
        </w:tc>
        <w:tc>
          <w:tcPr>
            <w:tcW w:w="320" w:type="dxa"/>
            <w:vAlign w:val="bottom"/>
            <w:shd w:val="clear" w:color="auto" w:fill="CFF0FC"/>
          </w:tcPr>
          <w:p>
            <w:pPr>
              <w:spacing w:after="0"/>
              <w:rPr>
                <w:sz w:val="16"/>
                <w:szCs w:val="16"/>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(71,836 )</w:t>
            </w:r>
          </w:p>
        </w:tc>
        <w:tc>
          <w:tcPr>
            <w:tcW w:w="0" w:type="dxa"/>
            <w:vAlign w:val="bottom"/>
          </w:tcPr>
          <w:p>
            <w:pPr>
              <w:spacing w:after="0"/>
              <w:rPr>
                <w:sz w:val="1"/>
                <w:szCs w:val="1"/>
                <w:color w:val="auto"/>
              </w:rPr>
            </w:pPr>
          </w:p>
        </w:tc>
      </w:tr>
      <w:tr>
        <w:trPr>
          <w:trHeight w:val="126"/>
        </w:trPr>
        <w:tc>
          <w:tcPr>
            <w:tcW w:w="4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Intermediate Holdings Corp.</w:t>
            </w:r>
          </w:p>
        </w:tc>
        <w:tc>
          <w:tcPr>
            <w:tcW w:w="120" w:type="dxa"/>
            <w:vAlign w:val="bottom"/>
            <w:shd w:val="clear" w:color="auto" w:fill="CFF0FC"/>
          </w:tcPr>
          <w:p>
            <w:pPr>
              <w:spacing w:after="0"/>
              <w:rPr>
                <w:sz w:val="10"/>
                <w:szCs w:val="10"/>
                <w:color w:val="auto"/>
              </w:rPr>
            </w:pPr>
          </w:p>
        </w:tc>
        <w:tc>
          <w:tcPr>
            <w:tcW w:w="1540" w:type="dxa"/>
            <w:vAlign w:val="bottom"/>
            <w:gridSpan w:val="2"/>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20" w:type="dxa"/>
            <w:vAlign w:val="bottom"/>
            <w:gridSpan w:val="2"/>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 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(24,833 )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(23,431 )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(70,791 )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(76,563 )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 basic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(1.18 )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(3.56 )</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11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w:t>
            </w:r>
          </w:p>
        </w:tc>
        <w:tc>
          <w:tcPr>
            <w:tcW w:w="12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80" w:type="dxa"/>
            <w:vAlign w:val="bottom"/>
            <w:vMerge w:val="restart"/>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1"/>
                <w:szCs w:val="11"/>
                <w:color w:val="auto"/>
              </w:rPr>
            </w:pPr>
          </w:p>
        </w:tc>
        <w:tc>
          <w:tcPr>
            <w:tcW w:w="132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80" w:type="dxa"/>
            <w:vAlign w:val="bottom"/>
            <w:tcBorders>
              <w:bottom w:val="single" w:sz="8" w:color="CFF0FC"/>
            </w:tcBorders>
            <w:vMerge w:val="continue"/>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132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2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-3025140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-3025140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-3025140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-2459355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-2459355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-2459355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-633730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-616585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-633730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-616585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-633730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-616585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Weighted-average shares of common stock outstanding, basic and diluted, has been adjusted on a retrospective basis. Refer to Note 16 “</w:t>
      </w:r>
      <w:r>
        <w:rPr>
          <w:rFonts w:ascii="Times New Roman" w:cs="Times New Roman" w:eastAsia="Times New Roman" w:hAnsi="Times New Roman"/>
          <w:sz w:val="18"/>
          <w:szCs w:val="18"/>
          <w:i w:val="1"/>
          <w:iCs w:val="1"/>
          <w:color w:val="auto"/>
        </w:rPr>
        <w:t>Net Loss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Attributable to Common Stockholder</w:t>
      </w:r>
      <w:r>
        <w:rPr>
          <w:rFonts w:ascii="Times New Roman" w:cs="Times New Roman" w:eastAsia="Times New Roman" w:hAnsi="Times New Roman"/>
          <w:sz w:val="18"/>
          <w:szCs w:val="18"/>
          <w:color w:val="auto"/>
        </w:rPr>
        <w:t>” for additional disclosure.</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WEST AFFUM INTERMEDIATE HOLDINGS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74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w:t>
            </w:r>
          </w:p>
        </w:tc>
        <w:tc>
          <w:tcPr>
            <w:tcW w:w="160" w:type="dxa"/>
            <w:vAlign w:val="bottom"/>
          </w:tcPr>
          <w:p>
            <w:pPr>
              <w:spacing w:after="0"/>
              <w:rPr>
                <w:sz w:val="17"/>
                <w:szCs w:val="17"/>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nal</w:t>
            </w:r>
          </w:p>
        </w:tc>
        <w:tc>
          <w:tcPr>
            <w:tcW w:w="920" w:type="dxa"/>
            <w:vAlign w:val="bottom"/>
            <w:gridSpan w:val="3"/>
            <w:vMerge w:val="continue"/>
          </w:tcPr>
          <w:p>
            <w:pPr>
              <w:spacing w:after="0"/>
              <w:rPr>
                <w:sz w:val="8"/>
                <w:szCs w:val="8"/>
                <w:color w:val="auto"/>
              </w:rPr>
            </w:pPr>
          </w:p>
        </w:tc>
        <w:tc>
          <w:tcPr>
            <w:tcW w:w="9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controlli</w:t>
            </w: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174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lated</w:t>
            </w:r>
          </w:p>
        </w:tc>
        <w:tc>
          <w:tcPr>
            <w:tcW w:w="980" w:type="dxa"/>
            <w:vAlign w:val="bottom"/>
            <w:gridSpan w:val="3"/>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ng</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der’s</w:t>
            </w: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102,11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194,73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(312,3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(117,57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April 30, 2023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$ 102,110</w:t>
            </w:r>
          </w:p>
        </w:tc>
        <w:tc>
          <w:tcPr>
            <w:tcW w:w="240" w:type="dxa"/>
            <w:vAlign w:val="bottom"/>
            <w:tcBorders>
              <w:right w:val="single" w:sz="8" w:color="auto"/>
            </w:tcBorders>
            <w:shd w:val="clear" w:color="auto" w:fill="CFF0FC"/>
          </w:tcPr>
          <w:p>
            <w:pPr>
              <w:spacing w:after="0"/>
              <w:rPr>
                <w:sz w:val="23"/>
                <w:szCs w:val="23"/>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8</w:t>
            </w: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redeemable preferred stock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(22,03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(22,032 )</w:t>
            </w:r>
          </w:p>
        </w:tc>
        <w:tc>
          <w:tcPr>
            <w:tcW w:w="0" w:type="dxa"/>
            <w:vAlign w:val="bottom"/>
          </w:tcPr>
          <w:p>
            <w:pPr>
              <w:spacing w:after="0"/>
              <w:rPr>
                <w:sz w:val="1"/>
                <w:szCs w:val="1"/>
                <w:color w:val="auto"/>
              </w:rPr>
            </w:pPr>
          </w:p>
        </w:tc>
      </w:tr>
      <w:tr>
        <w:trPr>
          <w:trHeight w:val="155"/>
        </w:trPr>
        <w:tc>
          <w:tcPr>
            <w:tcW w:w="37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117,11</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194,89</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(334,3</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(139,45</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July 31,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$ 117,110</w:t>
            </w:r>
          </w:p>
        </w:tc>
        <w:tc>
          <w:tcPr>
            <w:tcW w:w="240" w:type="dxa"/>
            <w:vAlign w:val="bottom"/>
            <w:tcBorders>
              <w:right w:val="single" w:sz="8" w:color="auto"/>
            </w:tcBorders>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redeemable preferred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370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14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130"/>
        </w:trPr>
        <w:tc>
          <w:tcPr>
            <w:tcW w:w="3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Capital contribution from Parent related to warrant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obligation</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40"/>
              <w:spacing w:after="0" w:line="271" w:lineRule="exact"/>
              <w:rPr>
                <w:sz w:val="20"/>
                <w:szCs w:val="20"/>
                <w:color w:val="auto"/>
              </w:rPr>
            </w:pPr>
            <w:r>
              <w:rPr>
                <w:rFonts w:ascii="Times New Roman" w:cs="Times New Roman" w:eastAsia="Times New Roman" w:hAnsi="Times New Roman"/>
                <w:sz w:val="17"/>
                <w:szCs w:val="17"/>
                <w:color w:val="auto"/>
              </w:rPr>
              <w:t xml:space="preserve">(28,18 </w:t>
            </w:r>
            <w:r>
              <w:rPr>
                <w:rFonts w:ascii="Times New Roman" w:cs="Times New Roman" w:eastAsia="Times New Roman" w:hAnsi="Times New Roman"/>
                <w:sz w:val="31"/>
                <w:szCs w:val="31"/>
                <w:color w:val="auto"/>
                <w:vertAlign w:val="subscript"/>
              </w:rPr>
              <w:t>)</w:t>
            </w:r>
          </w:p>
        </w:tc>
        <w:tc>
          <w:tcPr>
            <w:tcW w:w="16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(28,185 )</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vMerge w:val="continue"/>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October 31,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$ 152,110</w:t>
            </w:r>
          </w:p>
        </w:tc>
        <w:tc>
          <w:tcPr>
            <w:tcW w:w="240" w:type="dxa"/>
            <w:vAlign w:val="bottom"/>
            <w:tcBorders>
              <w:right w:val="single" w:sz="8" w:color="auto"/>
            </w:tcBorders>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4" w:lineRule="exact"/>
              <w:rPr>
                <w:sz w:val="20"/>
                <w:szCs w:val="20"/>
                <w:color w:val="auto"/>
              </w:rPr>
            </w:pPr>
            <w:r>
              <w:rPr>
                <w:rFonts w:ascii="Times New Roman" w:cs="Times New Roman" w:eastAsia="Times New Roman" w:hAnsi="Times New Roman"/>
                <w:sz w:val="16"/>
                <w:szCs w:val="16"/>
                <w:color w:val="auto"/>
              </w:rPr>
              <w:t xml:space="preserve">(362,5 </w:t>
            </w:r>
            <w:r>
              <w:rPr>
                <w:rFonts w:ascii="Times New Roman" w:cs="Times New Roman" w:eastAsia="Times New Roman" w:hAnsi="Times New Roman"/>
                <w:sz w:val="30"/>
                <w:szCs w:val="30"/>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4" w:lineRule="exact"/>
              <w:rPr>
                <w:sz w:val="20"/>
                <w:szCs w:val="20"/>
                <w:color w:val="auto"/>
              </w:rPr>
            </w:pPr>
            <w:r>
              <w:rPr>
                <w:rFonts w:ascii="Times New Roman" w:cs="Times New Roman" w:eastAsia="Times New Roman" w:hAnsi="Times New Roman"/>
                <w:sz w:val="16"/>
                <w:szCs w:val="16"/>
                <w:color w:val="auto"/>
              </w:rPr>
              <w:t xml:space="preserve">(165,86 </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162"/>
        </w:trPr>
        <w:tc>
          <w:tcPr>
            <w:tcW w:w="3700" w:type="dxa"/>
            <w:vAlign w:val="bottom"/>
            <w:vMerge w:val="continue"/>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redeemable preferred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370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4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130"/>
        </w:trPr>
        <w:tc>
          <w:tcPr>
            <w:tcW w:w="3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(21,619 )</w:t>
            </w: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164,61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196,93</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January 31, 2024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$ 164,610</w:t>
            </w:r>
          </w:p>
        </w:tc>
        <w:tc>
          <w:tcPr>
            <w:tcW w:w="240" w:type="dxa"/>
            <w:vAlign w:val="bottom"/>
            <w:tcBorders>
              <w:right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shd w:val="clear" w:color="auto" w:fill="CFF0FC"/>
          </w:tcPr>
          <w:p>
            <w:pPr>
              <w:spacing w:after="0"/>
              <w:rPr>
                <w:sz w:val="24"/>
                <w:szCs w:val="24"/>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9</w:t>
            </w: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37"/>
        </w:trPr>
        <w:tc>
          <w:tcPr>
            <w:tcW w:w="3700" w:type="dxa"/>
            <w:vAlign w:val="bottom"/>
            <w:tcBorders>
              <w:top w:val="single" w:sz="8" w:color="CFF0FC"/>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CFF0FC"/>
              <w:right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April 30,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$ 177,110</w:t>
            </w:r>
          </w:p>
        </w:tc>
        <w:tc>
          <w:tcPr>
            <w:tcW w:w="240" w:type="dxa"/>
            <w:vAlign w:val="bottom"/>
            <w:tcBorders>
              <w:right w:val="single" w:sz="8" w:color="auto"/>
            </w:tcBorders>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103,40</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103,400</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Issuance of redeemable preferred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stock to non-controlling interest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(4,248 )</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(4,248 )</w:t>
            </w: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3" w:lineRule="exact"/>
              <w:rPr>
                <w:sz w:val="20"/>
                <w:szCs w:val="20"/>
                <w:color w:val="auto"/>
              </w:rPr>
            </w:pPr>
            <w:r>
              <w:rPr>
                <w:rFonts w:ascii="Times New Roman" w:cs="Times New Roman" w:eastAsia="Times New Roman" w:hAnsi="Times New Roman"/>
                <w:sz w:val="18"/>
                <w:szCs w:val="18"/>
                <w:color w:val="auto"/>
              </w:rPr>
              <w:t>(19,88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(20,323 )</w:t>
            </w:r>
          </w:p>
        </w:tc>
        <w:tc>
          <w:tcPr>
            <w:tcW w:w="0" w:type="dxa"/>
            <w:vAlign w:val="bottom"/>
          </w:tcPr>
          <w:p>
            <w:pPr>
              <w:spacing w:after="0"/>
              <w:rPr>
                <w:sz w:val="1"/>
                <w:szCs w:val="1"/>
                <w:color w:val="auto"/>
              </w:rPr>
            </w:pPr>
          </w:p>
        </w:tc>
      </w:tr>
      <w:tr>
        <w:trPr>
          <w:trHeight w:val="155"/>
        </w:trPr>
        <w:tc>
          <w:tcPr>
            <w:tcW w:w="37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280,51</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193,18</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(426,3</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(216,47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July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$ 280,510</w:t>
            </w:r>
          </w:p>
        </w:tc>
        <w:tc>
          <w:tcPr>
            <w:tcW w:w="240" w:type="dxa"/>
            <w:vAlign w:val="bottom"/>
            <w:tcBorders>
              <w:right w:val="single" w:sz="8" w:color="auto"/>
            </w:tcBorders>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(575 )</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40"/>
              <w:spacing w:after="0" w:line="271" w:lineRule="exact"/>
              <w:rPr>
                <w:sz w:val="20"/>
                <w:szCs w:val="20"/>
                <w:color w:val="auto"/>
              </w:rPr>
            </w:pPr>
            <w:r>
              <w:rPr>
                <w:rFonts w:ascii="Times New Roman" w:cs="Times New Roman" w:eastAsia="Times New Roman" w:hAnsi="Times New Roman"/>
                <w:sz w:val="17"/>
                <w:szCs w:val="17"/>
                <w:color w:val="auto"/>
              </w:rPr>
              <w:t xml:space="preserve">(20,36 </w:t>
            </w:r>
            <w:r>
              <w:rPr>
                <w:rFonts w:ascii="Times New Roman" w:cs="Times New Roman" w:eastAsia="Times New Roman" w:hAnsi="Times New Roman"/>
                <w:sz w:val="31"/>
                <w:szCs w:val="31"/>
                <w:color w:val="auto"/>
                <w:vertAlign w:val="subscript"/>
              </w:rPr>
              <w:t>)</w:t>
            </w:r>
          </w:p>
        </w:tc>
        <w:tc>
          <w:tcPr>
            <w:tcW w:w="16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(20,621 )</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vMerge w:val="continue"/>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280,51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193,73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(446,6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(236,54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October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$ 280,510</w:t>
            </w:r>
          </w:p>
        </w:tc>
        <w:tc>
          <w:tcPr>
            <w:tcW w:w="240" w:type="dxa"/>
            <w:vAlign w:val="bottom"/>
            <w:tcBorders>
              <w:right w:val="single" w:sz="8" w:color="auto"/>
            </w:tcBorders>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Deemed dividend for payments to third party 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behalf of stockholder</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(21,50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(21,759 )</w:t>
            </w:r>
          </w:p>
        </w:tc>
        <w:tc>
          <w:tcPr>
            <w:tcW w:w="0" w:type="dxa"/>
            <w:vAlign w:val="bottom"/>
          </w:tcPr>
          <w:p>
            <w:pPr>
              <w:spacing w:after="0"/>
              <w:rPr>
                <w:sz w:val="1"/>
                <w:szCs w:val="1"/>
                <w:color w:val="auto"/>
              </w:rPr>
            </w:pPr>
          </w:p>
        </w:tc>
      </w:tr>
      <w:tr>
        <w:trPr>
          <w:trHeight w:val="155"/>
        </w:trPr>
        <w:tc>
          <w:tcPr>
            <w:tcW w:w="37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280,51</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194,14</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(468,1</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(257,89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January 31,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$ 280,510</w:t>
            </w:r>
          </w:p>
        </w:tc>
        <w:tc>
          <w:tcPr>
            <w:tcW w:w="240" w:type="dxa"/>
            <w:vAlign w:val="bottom"/>
            <w:tcBorders>
              <w:right w:val="single" w:sz="8" w:color="auto"/>
            </w:tcBorders>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5</w:t>
            </w: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-6471285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-6471285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-6471285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-6471285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-6471285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-6471285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-6471285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-6471285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-5099685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-5099685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-5099685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-5099685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-5099685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-5099685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-5099685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-5099685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-3702685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-3685540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-3702685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-3685540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-3702685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-3685540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-3702685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-3685540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-3702685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-3685540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-3702685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-3685540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-3702685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-3685540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-2262505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-2262505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-2262505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-2262505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-2262505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-2262505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-2262505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-1285240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-1285240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-1285240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-1285240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-1285240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-1285240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-1285240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-307975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-307975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-307975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-307975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-307975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-307975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-307975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81" w:right="339" w:bottom="321"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WEST AFFUM INTERMEDIATE HOLDINGS CORP. AND SUBSIDIARIES</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Nine Months Ended January 31,</w:t>
            </w:r>
          </w:p>
        </w:tc>
      </w:tr>
      <w:tr>
        <w:trPr>
          <w:trHeight w:val="196"/>
        </w:trPr>
        <w:tc>
          <w:tcPr>
            <w:tcW w:w="8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r>
      <w:tr>
        <w:trPr>
          <w:trHeight w:val="196"/>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(62,703 )</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(71,836 )</w:t>
            </w:r>
          </w:p>
        </w:tc>
      </w:tr>
      <w:tr>
        <w:trPr>
          <w:trHeight w:val="20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8,058</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shd w:val="clear" w:color="auto" w:fill="CFF0FC"/>
          </w:tcPr>
          <w:p>
            <w:pPr>
              <w:spacing w:after="0"/>
              <w:rPr>
                <w:sz w:val="17"/>
                <w:szCs w:val="17"/>
                <w:color w:val="auto"/>
              </w:rPr>
            </w:pPr>
          </w:p>
        </w:tc>
      </w:tr>
      <w:tr>
        <w:trPr>
          <w:trHeight w:val="202"/>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paid-in-kind</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Amortization of debt discounts and issuance costs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Non-cash lease expense</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loss on debt extinguishment</w:t>
            </w:r>
          </w:p>
        </w:tc>
        <w:tc>
          <w:tcPr>
            <w:tcW w:w="1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Disposable medical equipment supplies</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(2,677 )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(1,385 )</w:t>
            </w:r>
          </w:p>
        </w:tc>
      </w:tr>
      <w:tr>
        <w:trPr>
          <w:trHeight w:val="203"/>
        </w:trPr>
        <w:tc>
          <w:tcPr>
            <w:tcW w:w="8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(161 )</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(5,931 )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(1,396 )</w:t>
            </w:r>
          </w:p>
        </w:tc>
      </w:tr>
      <w:tr>
        <w:trPr>
          <w:trHeight w:val="203"/>
        </w:trPr>
        <w:tc>
          <w:tcPr>
            <w:tcW w:w="8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5,719</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(780 )</w:t>
            </w:r>
          </w:p>
        </w:tc>
      </w:tr>
      <w:tr>
        <w:trPr>
          <w:trHeight w:val="203"/>
        </w:trPr>
        <w:tc>
          <w:tcPr>
            <w:tcW w:w="8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(593 )</w:t>
            </w:r>
          </w:p>
        </w:tc>
      </w:tr>
      <w:tr>
        <w:trPr>
          <w:trHeight w:val="203"/>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long-term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(20 )</w:t>
            </w:r>
          </w:p>
        </w:tc>
      </w:tr>
      <w:tr>
        <w:trPr>
          <w:trHeight w:val="20"/>
        </w:trPr>
        <w:tc>
          <w:tcPr>
            <w:tcW w:w="8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(53,909 )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(57,287 )</w:t>
            </w:r>
          </w:p>
        </w:tc>
      </w:tr>
      <w:tr>
        <w:trPr>
          <w:trHeight w:val="196"/>
        </w:trPr>
        <w:tc>
          <w:tcPr>
            <w:tcW w:w="8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2"/>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(15,547 )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(8,117 )</w:t>
            </w: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 for medical rental equipment</w:t>
            </w:r>
          </w:p>
        </w:tc>
        <w:tc>
          <w:tcPr>
            <w:tcW w:w="1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(196 )</w:t>
            </w:r>
          </w:p>
        </w:tc>
      </w:tr>
      <w:tr>
        <w:trPr>
          <w:trHeight w:val="203"/>
        </w:trPr>
        <w:tc>
          <w:tcPr>
            <w:tcW w:w="8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Refund of deposits for medical rental equipment</w:t>
            </w: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(15,547 )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(8,070 )</w:t>
            </w:r>
          </w:p>
        </w:tc>
      </w:tr>
      <w:tr>
        <w:trPr>
          <w:trHeight w:val="196"/>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redeemable preferred stock</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Deemed dividend for payments to third party on behalf of stockholder</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(1,648 )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(536 )</w:t>
            </w: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 to non-controlling interest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(2,352 )</w:t>
            </w: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Payment of equity issuance costs</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(3,224 )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1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(39,123 )</w:t>
            </w:r>
          </w:p>
        </w:tc>
      </w:tr>
      <w:tr>
        <w:trPr>
          <w:trHeight w:val="203"/>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Payments of deferred offering costs</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(69 )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84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115,559</w:t>
            </w: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65,489</w:t>
            </w:r>
          </w:p>
        </w:tc>
        <w:tc>
          <w:tcPr>
            <w:tcW w:w="100" w:type="dxa"/>
            <w:vAlign w:val="bottom"/>
            <w:tcBorders>
              <w:top w:val="single" w:sz="8" w:color="CFF0FC"/>
            </w:tcBorders>
          </w:tcPr>
          <w:p>
            <w:pPr>
              <w:spacing w:after="0"/>
              <w:rPr>
                <w:sz w:val="17"/>
                <w:szCs w:val="17"/>
                <w:color w:val="auto"/>
              </w:rPr>
            </w:pPr>
          </w:p>
        </w:tc>
      </w:tr>
      <w:tr>
        <w:trPr>
          <w:trHeight w:val="196"/>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46,103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54,686</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15,454</w:t>
            </w:r>
          </w:p>
        </w:tc>
        <w:tc>
          <w:tcPr>
            <w:tcW w:w="100" w:type="dxa"/>
            <w:vAlign w:val="bottom"/>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4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reported in the condensed consolidated balance</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8"/>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sheets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54,352</w:t>
            </w:r>
          </w:p>
        </w:tc>
        <w:tc>
          <w:tcPr>
            <w:tcW w:w="30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15,345</w:t>
            </w:r>
          </w:p>
        </w:tc>
        <w:tc>
          <w:tcPr>
            <w:tcW w:w="100" w:type="dxa"/>
            <w:vAlign w:val="bottom"/>
          </w:tcPr>
          <w:p>
            <w:pPr>
              <w:spacing w:after="0"/>
              <w:rPr>
                <w:sz w:val="17"/>
                <w:szCs w:val="17"/>
                <w:color w:val="auto"/>
              </w:rPr>
            </w:pPr>
          </w:p>
        </w:tc>
      </w:tr>
      <w:tr>
        <w:trPr>
          <w:trHeight w:val="20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54,686</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15,454</w:t>
            </w:r>
          </w:p>
        </w:tc>
        <w:tc>
          <w:tcPr>
            <w:tcW w:w="100" w:type="dxa"/>
            <w:vAlign w:val="bottom"/>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4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 in accrued liabilities and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8,621</w:t>
            </w:r>
          </w:p>
        </w:tc>
        <w:tc>
          <w:tcPr>
            <w:tcW w:w="30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13,334</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Capital contribution from Parent to settle warrant obligation</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offering costs incurred but not yet paid</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0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-4097020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-3573780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-2270760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-1739265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3" w:name="page14"/>
    <w:bookmarkEnd w:id="13"/>
    <w:p>
      <w:pPr>
        <w:jc w:val="center"/>
        <w:ind w:left="340" w:right="2580"/>
        <w:spacing w:after="0" w:line="259" w:lineRule="auto"/>
        <w:rPr>
          <w:sz w:val="20"/>
          <w:szCs w:val="20"/>
          <w:color w:val="auto"/>
        </w:rPr>
      </w:pPr>
      <w:r>
        <w:rPr>
          <w:rFonts w:ascii="Times New Roman" w:cs="Times New Roman" w:eastAsia="Times New Roman" w:hAnsi="Times New Roman"/>
          <w:sz w:val="18"/>
          <w:szCs w:val="18"/>
          <w:b w:val="1"/>
          <w:bCs w:val="1"/>
          <w:color w:val="auto"/>
        </w:rPr>
        <w:t>WEST AFFUM INTERMEDIATE HOLDINGS CORP. AND SUBSIDIARIES NOTES TO CONDENSED CONSOLIDATED FINANCIAL STATEMENTS (unaudited)</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per share data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Liquidity</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West Affum Intermediate Holdings Corp., a Cayman Islands exempted company (the “Company”), was incorporated on August 6, 2020, in order to carry on the business of West Affum Holdings Corp. (“WAH Corp.”) and its consolidated subsidiaries. West Affum Intermediate Holdings Corp. is wholly owned by West Affum Holdings L.P., a Cayman Islands limited partnership (“West Affum LP” or the “Parent”).</w:t>
      </w:r>
    </w:p>
    <w:p>
      <w:pPr>
        <w:spacing w:after="0" w:line="6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 and its consolidated subsidiaries own certain intellectual property related to the development of personal Wearable Cardioverter Defibrillators (“WCD”) approved by the U.S. Food and Drug Administration (“FDA”).</w:t>
      </w:r>
    </w:p>
    <w:p>
      <w:pPr>
        <w:spacing w:after="0" w:line="54" w:lineRule="exact"/>
        <w:rPr>
          <w:sz w:val="20"/>
          <w:szCs w:val="20"/>
          <w:color w:val="auto"/>
        </w:rPr>
      </w:pPr>
    </w:p>
    <w:p>
      <w:pPr>
        <w:ind w:right="1020"/>
        <w:spacing w:after="0" w:line="375" w:lineRule="auto"/>
        <w:rPr>
          <w:sz w:val="20"/>
          <w:szCs w:val="20"/>
          <w:color w:val="auto"/>
        </w:rPr>
      </w:pPr>
      <w:r>
        <w:rPr>
          <w:rFonts w:ascii="Times New Roman" w:cs="Times New Roman" w:eastAsia="Times New Roman" w:hAnsi="Times New Roman"/>
          <w:sz w:val="18"/>
          <w:szCs w:val="18"/>
          <w:color w:val="auto"/>
        </w:rPr>
        <w:t xml:space="preserve">The Company generates revenue through leasing the ASSURE© System, which consists of a Wearable Cardioverter Defibrillator, to patients. </w:t>
      </w:r>
      <w:r>
        <w:rPr>
          <w:rFonts w:ascii="Times New Roman" w:cs="Times New Roman" w:eastAsia="Times New Roman" w:hAnsi="Times New Roman"/>
          <w:sz w:val="18"/>
          <w:szCs w:val="18"/>
          <w:b w:val="1"/>
          <w:bCs w:val="1"/>
          <w:i w:val="1"/>
          <w:iCs w:val="1"/>
          <w:color w:val="auto"/>
        </w:rPr>
        <w:t>Initial Public Offering</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7, 2025, Kestra Medical Technologies, Ltd. completed an initial public offering of 11,882,352 Common Shares at an offering price of $17.00 per share (“IPO”). On March 14, 2025, the underwriters purchased an additional 1,782,352 Common Shares at an offering price of $17.00 per share.</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IPO, organizational transactions were effected whereby West Affum LP contributed all of its equity interests, including preferred shares, in West Affum Intermediate Holdings Corp. to Kestra Medical Technologies, Ltd. in exchange for 37,683,952 Common Shares, including 32,485 Common Shares of Kestra Medical Technologies, Ltd. that are subject to vesting conditions, to the holders of West Affum LP Class A Common Units (defined below) and Incentive Units (defined below), including a third-party investor in West Affum Holdings Designated Activity Company, a subsidiary of West Affum Intermediate Holdings Corp (collectively, the “Organizational Transactions”). The IPO, together with 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All Incentive Units were accelerated at time of the IPO while the Class A Common Units continue to vest subject to the original vesting schedule.</w:t>
      </w:r>
    </w:p>
    <w:p>
      <w:pPr>
        <w:spacing w:after="0" w:line="8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connection with the IPO, Kestra Medical Technologies, Ltd. also entered into the 2025 Omnibus Incentive Plan to grant eligible individuals stock options in order to attract, retain and reward such individuals and strengthen the mutuality of interests between such individuals and Kestra Medical Technologies, Ltd.’s stockholders.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West Affum LP will continue to hold Common Shares of Kestra Medical Technologies, Ltd. for the benefit of holders of common units in West Affum LP, until such time that such Common Shares are distributed by West Affum LP to the remaining partners of West Affum LP, which is expected to occur approximately nine months after March 5, 2025, the pricing date of the IPO (the “Post-IPO Distribution”). The allocation of the number of Common Shares of Kestra Medical Technologies, Ltd. held by West Affum LP among the holders of common units in West Affum LP in the Post-IPO Distribution will be determined in reference to the liquidation value of West Affum LP at the time of such Post-IPO Distribution. Kestra Medical Technologies, Ltd. also issued new warrants exercisable for its Common Shares in consideration of the cancellation of certain warrants issued by West Affum LP.</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the Organizational Transactions, pre-existing preferred interests in West Affum Intermediate Holdings Corp., as well as non-controlling interests of its subsidiary, were exchanged into Common Shares of Kestra Medical Technologies, Ltd., which became the top parent company of West Affum Intermediate Holdings Corp. and all of its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January 31, 2025, and April 30, 2024, the Company’s principal sources of liquidity consisted of $54,352 and $8,249 of cash and cash equivalents, respectively.</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three months ended January 31, 2025, and 2024, the Company incurred net losses of $21,759 and $21,619, respectively. For the nine months ended January 31, 2025, and 2024, the Company incurred net losses of $62,703 and $71,836, respectively. Cash used in operating activities was $53,909 and $57,287 for the nine months ended January 31, 2025, and 2024, respectively. As of January 31, 2025, the Company had an accumulated deficit of $468,196.</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25, 2025, the Company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Pursuant to the Second Amendment to Credit Agreement, the Term Loan 2024 (as defined below) facility was amended to adjust the revenue milestones applicable to the debt covenants therein and amend the ability to draw additional loans under its third tranche to allow for the ability to draw an additional $15.0 million through July 31, 2026, upon the achievement of revenue of at least $60.0 million for any twelve consecutive month period prior to the third tranche’s borrowing date.</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March 2025, Kestra Medical Technologies, Ltd., the top parent of the Company following the Organizational Transactions and IPO effected in March 2025, raised $215,789 in proceeds after deducting underwriting discounts and commissions and before deducting estimated offering costs.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the Company’s current operating plan in consideration of cash proceeds from the IPO, the Company believes that its existing cash and cash equivalents will be sufficient to fund the Company’s planned operating expenses and capital expenditure requirements for at least the next 12 months from the date these financial statements were available to be issued.</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the rules and regulations of the Securities and Exchange Commission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balance sheet as of April 30, 2024,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2024 and 2023. The results for the interim periods are not necessarily indicative of results for the full year.</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lives of property and equipment, losses for unreturned property and equipment, stock-based compensation expense and valuation allowance for deferred tax assets.</w:t>
      </w:r>
    </w:p>
    <w:p>
      <w:pPr>
        <w:spacing w:after="0" w:line="6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other market-specific or relevant assumptions that it believes to be reasonable under the circumstances.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Accounts receivable and net revenues are based on contractually agreed-upon rates for leases for the ASSURE© System, reduced by estimated adjustments, including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records a reserve for estimated probable losses as part of net revenue adjustments in order to report revenue at an expected collectable amount based on the total portfolio of receivables for which collectability has been deemed probable. The accounts receivable are presented on the unaudited interim condensed consolidated balance sheets net of the adjustments.</w:t>
      </w:r>
    </w:p>
    <w:p>
      <w:pPr>
        <w:spacing w:after="0" w:line="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were $2,382 and $500 as of January 31, 2025 and April 30,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Property and equipment consist of medical rental equipment, test equipment, computer software and equipment, and leasehold improvements. Medical rental equipment used in the delivery of the ASSURE® WCD system consists of therapy cables, batteries, battery chargers, assistants and WCD monitors, all of which have different useful lives. Upon completion of use by a patient, medical rental equipment is returned to the Company’s third-party manufacturing and supply partner and inspected, tested and recertified for use by another patient. When not in use by patients, medical rental equipment resides with the Company's third-party manufacturing and supply partner, at third-party warehouses or with the Company’s territory managers. Physical counts of components are conducted at least annually at the third-party manufacturing and supply partner locations and at least quarterly at other locations.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depreciated using the straight-line method based on the following estimated useful lives: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Classification</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1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auto"/>
            </w:tcBorders>
            <w:vMerge w:val="continue"/>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140" w:type="dxa"/>
            <w:vAlign w:val="bottom"/>
          </w:tcPr>
          <w:p>
            <w:pPr>
              <w:spacing w:after="0"/>
              <w:rPr>
                <w:sz w:val="18"/>
                <w:szCs w:val="18"/>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Computer software and equipment</w:t>
            </w: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 years</w:t>
            </w:r>
          </w:p>
        </w:tc>
        <w:tc>
          <w:tcPr>
            <w:tcW w:w="140" w:type="dxa"/>
            <w:vAlign w:val="bottom"/>
          </w:tcPr>
          <w:p>
            <w:pPr>
              <w:spacing w:after="0"/>
              <w:rPr>
                <w:sz w:val="16"/>
                <w:szCs w:val="16"/>
                <w:color w:val="auto"/>
              </w:rPr>
            </w:pPr>
          </w:p>
        </w:tc>
        <w:tc>
          <w:tcPr>
            <w:tcW w:w="3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equipment</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lease-term</w:t>
            </w:r>
          </w:p>
        </w:tc>
        <w:tc>
          <w:tcPr>
            <w:tcW w:w="1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lease-term</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rental equipment</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2 - 8 years</w:t>
            </w:r>
          </w:p>
        </w:tc>
        <w:tc>
          <w:tcPr>
            <w:tcW w:w="14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1.5 - 7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nine months ended January 31, 2025, the estimated useful life of the medical rental equipment asset class was changed prospectively from 1.5 - 7 years to 2 - 8 years. This change was the result of an FDA approval allowing therapy cables to be repaired up to three times which increased the estimated useful life of this component from two years to eight years. The impact was a reduction of depreciation expense, which is included within costs of revenue, by $1,208 in the nine months ended January 31, 2025, compared to if the useful life of therapy cables had remained at two years. This change in estimated useful life reduced net loss and comprehensive loss by the same amount.</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related accumulated depreciation are removed from the accounts, and any resulting gain or loss is recognized in the unaudited interim condensed consolidated statements of operations and comprehensive loss for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Deposits represent advance payments to contracted suppliers for medical rental equipment. These payments are classified as long-term assets in the unaudited interim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generates revenue from the leases of ASSURE© System, which consists of a Wearable Cardioverter Defibrillator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the industry and the reimbursement environment in which we operate, we periodically evaluate the need to record a general reserve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Deferred offering costs primarily consist of legal, accounting and other fees related to the IPO are capitalized and included in other long-term assets in the unaudited interim condensed consolidated balance sheets and will be offset against the IPO proceeds. There were $2,289 and $0 of deferred offering costs capitalized as of January 31, 2025 and April 30,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Behalf of Stockholder</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2025, and 2024, the Company paid administrative costs to a third party on behalf of its stockholder, Parent, of $50 and $110, respectively. During the nine months ended January 31, 2025, and 2024, the Company paid administrative costs to a third party on behalf of its stockholder, Parent, of $4,873 and $536, respectively. The payments to a third party on behalf of the Company's stockholder were recorded as a deemed dividend in the unaudited interim condensed consolidated statements of changes in redeemable preferred stock and stockholder’s deficit.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reports a non-controlling interest of a consolidated subsidiary within equity in the unaudited interim condensed consolidated balance sheet and the amount of consolidated net loss attributable to the Parent and to the non-controlling interest is presented in the unaudited interim condensed consolidated statements of operations and comprehensive loss. The amount attributed is calculated based on ownership in the consolidated subsidiary. Changes in ownership interests in the subsidiary in which the Company maintains a controlling interest are recorded in equity.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enables investors to better understand an entity’s overall performance and assists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assessing potential future cash flows. The guidance is effective for fiscal years beginning after December 15, 2023. The Company is still evaluating the impact that this ASU will have on their financial statement disclosures.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transparency and decision usefulness of income tax disclosures, primarily related to the income tax rate reconciliation and income taxes paid information. The guidance is effective for private business entities for annual reporting periods beginning after December 15, 2025. The Company does not anticipate a material impact to the required financial statement disclosure as a result of this ASU.</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requiring disclosure in the notes to the financial statements for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2024-03 is effective for annual periods beginning after December 15, 2026, and interim periods beginning after December 15, 2027; however early adoption is permitted and can be applied either prospectively or retrospectively. The Company is still evaluating the impact that this ASU will have on their financial statement disclosures.</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new accounting pronouncements were adopted during the nine months ended January 31, 2025.</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software fees</w:t>
            </w:r>
          </w:p>
        </w:tc>
        <w:tc>
          <w:tcPr>
            <w:tcW w:w="3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39"/>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6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3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18"/>
                <w:szCs w:val="18"/>
                <w:color w:val="auto"/>
              </w:rPr>
            </w:pP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(22,480 )</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(17,546 )</w:t>
            </w:r>
          </w:p>
        </w:tc>
      </w:tr>
      <w:tr>
        <w:trPr>
          <w:trHeight w:val="249"/>
        </w:trPr>
        <w:tc>
          <w:tcPr>
            <w:tcW w:w="58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-1807845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-1791335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-1807845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-1791335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recorded $1,888 and $3,363 of depreciation expense for the three months ended January 31, 2025, and 2024, respectively. The Company recorded $6,132 and $8,058 of depreciation expense for the nine months ended January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2021, the Company amended its office lease that began on May 1, 2020 to expand the leased space, commencing on September 1, 2021. The amendment is subject to all terms and conditions of the original office lease agreement and expires in April 2024. In October 2023, the Company amended the existing arrangements into an extended office lease set to expire in April 2029. The Company has the option to renew for 3 or 5 years upon expiration of the extended term.</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October 2023 amendment provided rent abatement from November 1, 2023 through April 30, 2024. The same amendment further provided a tenant improvement allowance of $943 to be used as rent abatement or tenant improvement reimbursement by June 2026, and $786 specific for tenant improvements. In August of 2024, the Company amended its office lease to allow for two additional months of rent abatement and also allowed the specific tenant improvement reimbursement to be used for rent abatement or tenant improvements.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was as follows for the periods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6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52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52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8"/>
                <w:szCs w:val="18"/>
                <w:color w:val="auto"/>
              </w:rPr>
            </w:pPr>
          </w:p>
        </w:tc>
      </w:tr>
      <w:tr>
        <w:trPr>
          <w:trHeight w:val="249"/>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26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lease expense includes amortization and interest expense associated with operating lease right-of-use assets and liabilities. Variable lease expense includes payments related to taxes, insurance and maintenance costs as required by the lease.</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paid for operating leases was $173 and $144 for the three months ended January 31, 2025, and 2024, respectively. Cash paid for operating leases was $506 and $1,121 for the nine months ended January 31, 2025, and 2024, respectively.</w:t>
      </w:r>
    </w:p>
    <w:p>
      <w:pPr>
        <w:spacing w:after="0" w:line="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weighted average remaining lease term for the Company’s operating leases was 51 months as of January 31, 2025, and 60 months as of April 30, 2024. The weighted average discount rate used to calculate the net present value of the Company’s operating lease liabilities was 15.2% as of January 31, 2025 and April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at:</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24"/>
                <w:szCs w:val="24"/>
                <w:color w:val="auto"/>
              </w:rPr>
            </w:pPr>
          </w:p>
        </w:tc>
      </w:tr>
      <w:tr>
        <w:trPr>
          <w:trHeight w:val="209"/>
        </w:trPr>
        <w:tc>
          <w:tcPr>
            <w:tcW w:w="8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Bonuses and commissions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Paid time off</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 taxes</w:t>
            </w:r>
          </w:p>
        </w:tc>
        <w:tc>
          <w:tcPr>
            <w:tcW w:w="2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6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24, 2020, WAH Corp. and Kestra Medical Technologies, Inc. entered into the Loan and Security Agreement (the “Loan Agreement”) with a lender, which provided for a Senior Secured Delayed-Draw Term Loan in an aggregate principal amount of up to $50.0 million (as amended, the “Term Loan”). Borrowings under the original Term Loan are made available in up to three tranches, which are subject to the Company achieving certain funding, regulatory or revenue milestones as defined in the Loan Agreement. The term loan includes certain six month trailing revenue targets beginning in July of 2022, which, if breached, will increase the interest rate on the Term Loan by 1.0% and require the then outstanding balance to accelerate to be repaid over a 24-month period.</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28, 2020, the Company drew the first tranche of the Term Loan pursuant to the terms of the Loan Agreement in the amount of $20.0 million. The Company incurred a 1.0% facility fee of the total available loan amount of $50.0 million upon the drawing of the first tranche and legal fees of $832 for both the Company and the lender. The Company recognized a portion of the facility fee and legal fees as a discount to the long-term debt liability and a portion in other long-term assets, relative to the tranche draws, both of which are amortized as interest expense over the term of the loan on a straight-line basis.</w:t>
      </w:r>
    </w:p>
    <w:p>
      <w:pPr>
        <w:spacing w:after="0" w:line="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conjunction with the draw on the first tranche, the Parent issued a warrant to the lender to purchase up to 49,044 shares of the Parent’s common units at an exercise price of $22.63 per share. The fair value of the warrant is $320 and is recognized as a debt discount and as a capital contribution, and the debt discount is amortized over the term of the loan to interest expense.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21, 2022, the Company drew the second tranche of the Term Loan pursuant to the terms of the Loan Agreement in the amount of $15.0 million. Relative to the second tranche draw, the Company reclassified a portion of the facility fee and legal fees from other long-term assets to the long-term debt liability as a debt discount, with both facility and legal fees being amortized as interest expense over the term of the loan on a straight-line basis.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second tranche, the Parent issued a warrant to the lender to purchase up to 36,783 shares of the Parent’s common units at an exercise price of $26.24 per share. The fair value of the warrant is $375 and is recognized as a debt discount and as a capital contribution, and the debt discount is amortized over the term of the loan to interest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originally bore interest on outstanding balances of 14.5% per annum, all of which could be paid-in-kind, accrued and added to the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and compounded quarterly until the earlier of the repayment or maturity date of the Term Loan. Following achievement of Premarket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FDA of the Company’s ASSURE® WCD system, the Term Loan would bear interest of 12.5% per annum, up to 6.5% of which can be paid-in-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accrued and added to the principal and compounded quarterly until the earlier of either the repayment or maturity date of the Term Loan. On July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received FDA Premarket Approval for the ASSURE®WCD system and submitted evidence of the FDA Premarket Approval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of the Term Loan. As such, the Term Loan began to bear interest on outstanding balances of 12.5% per annum, up to 6.5% of which could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in-kind, accrued and added to the principal and compounded quarterly until the earlier of either the repayment or maturity date of the Term Loan. On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2022, the Company and the lender entered into a First Amendment to Loan and Security Agreement (the “Amendment”), pursuant to which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amend the existing Loan Agreement to (i) provide for additional funding under additional tranche Loan (“Tranche D Draw”)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(ii) increase the aggregated principal amount by $10.0 million, to a total of $60.0 million, (iii) increase the portion of paid-in-kind interest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a stated interest rate at 12.5% for the period starting February 1, 2022 through April 30, 2023 and thereafter at a rate of 6.5%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loan agreement, and (iv) modify the certain revenue targets and defer the first measurement date to October of 2022.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the ability to draw on the third tranche of the debt until March 24, 2023, provided the Company could achieve $9.0 million in three-month trailing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Further, the Tranche D Draw for $10.0 million is available until July 24, 2023, upon achievement of a six-month trailing revenue of $25.0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loan maturity date of September 24, 2025, under the loan modification remained unchanged. The Company evaluated the Amendment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 Loan under accounting guidance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determined that the amendment should be treated as a debt modification, as such no gain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was recognized in the year ended April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9" w:name="page20"/>
    <w:bookmarkEnd w:id="19"/>
    <w:p>
      <w:pPr>
        <w:ind w:right="340"/>
        <w:spacing w:after="0" w:line="261" w:lineRule="auto"/>
        <w:rPr>
          <w:sz w:val="20"/>
          <w:szCs w:val="20"/>
          <w:color w:val="auto"/>
        </w:rPr>
      </w:pPr>
      <w:r>
        <w:rPr>
          <w:rFonts w:ascii="Times New Roman" w:cs="Times New Roman" w:eastAsia="Times New Roman" w:hAnsi="Times New Roman"/>
          <w:sz w:val="18"/>
          <w:szCs w:val="18"/>
          <w:color w:val="auto"/>
        </w:rPr>
        <w:t>As of October 31, 2022, the Company did not meet the required revenue target for the preceding six-months trailing revenue. As a result, the Company began to make principal payments over a 24-month period, payable at the beginning of the following quarter and the interest rate increased by 1% to</w:t>
      </w:r>
    </w:p>
    <w:p>
      <w:pPr>
        <w:ind w:right="200"/>
        <w:spacing w:after="0" w:line="255" w:lineRule="auto"/>
        <w:rPr>
          <w:sz w:val="20"/>
          <w:szCs w:val="20"/>
          <w:color w:val="auto"/>
        </w:rPr>
      </w:pPr>
      <w:r>
        <w:rPr>
          <w:rFonts w:ascii="Times New Roman" w:cs="Times New Roman" w:eastAsia="Times New Roman" w:hAnsi="Times New Roman"/>
          <w:sz w:val="18"/>
          <w:szCs w:val="18"/>
          <w:color w:val="auto"/>
        </w:rPr>
        <w:t>13.5%. The Company made its first principal payment of $5,333 on February 1, 2023. The Company did not meet its revenue target for the preceding six months as of January 31, 2023, and principal payments continued. The Company made a second principal payment on May 1, 2023, for $5,511. The Company did not meet its revenue target for the preceding six months as of April 30, 2023, and the next principal payment was due on August 1, 2023.</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28, 2023, the Company entered into an agreement with the holder of the Term Loan, to defer a principal payment that was due on August 1, 2023, to extend the payment date to September 1, 2023. On August 31, 2023, the Company entered into an agreement to defer the principal payment that was due on August 1, 2023, to October 31, 2023. The agreement also changed the loan prepayment fee of 6% through from September 24, 2022, to September 24, 2023, to a loan prepayment fee of 5% from September 24, 2022, through December 31, 2023, and for the prepayment fee to be changed to 3% beyond December 31, 2023. On September 29, 2023, the Company terminated the Term Loan by paying off the loan balance of $34,209, accrued interest of $757, a prepayment fee of $1,710 and a loss on extinguishment of debt of $1,006, including the non-cash portion of $930. Loss on extinguishment of debt is part of “Other expense (income)” on the unaudited interim condensed consolidated statements of operations and comprehensive loss.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 Credit Agreement with a separate lender which provided a Senior Secured Delayed Draw Term Loan Facility (as amended, the “Term Loan 2024”) in an aggregate principal amount of up to $60.0 million which matures on September 29, 2028. Borrowings are made available in up to three tranches, the first of which is available upon closing of the agreement, which included committed equity funding of at least $75 million, and two follow on tranches of $7.5 million which become available before November 1, 2024, and February 1, 2025, and are dependent on upon achievement of revenue milestones of trailing twelve 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has the ability to pay-in-kind up to 2% of the payable interest. The Term Loan 2024 requires a minimum level of cash of $3.0 million and certain revenue thresholds based upon trailing twelve month revenue results. The revenue covenant began to be measured on April 30, 2024. As of January 31, 2025, the Company was in compliance with both financial covenants.</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29, 2023, the Company drew the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October 31, 2024, the Company determined that the revenue milestones related to the second tranche was not met and the third tranche were not probable of being achieved. As a result, the Company expensed the asset related to debt issuance costs and facility fees in the amount of $462.</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first tranche, the Parent issued a warrant to the lender to purchase up to 256,410 shares of the Parent’s common units at an exercise price of $17.55 per share. The fair value of the warrant was $1,632 and was recognized as a debt discount and as a capital contribution, and the debt discount is amortized over the term of the loan to interest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 at:</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paid-in-kind interest applied to term loan balance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(2,494 )</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-1224915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-942340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 recognized the expenses related to the Term Loan 2024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0" w:type="dxa"/>
            <w:vAlign w:val="bottom"/>
          </w:tcPr>
          <w:p>
            <w:pPr>
              <w:spacing w:after="0"/>
              <w:rPr>
                <w:sz w:val="1"/>
                <w:szCs w:val="1"/>
                <w:color w:val="auto"/>
              </w:rPr>
            </w:pPr>
          </w:p>
        </w:tc>
      </w:tr>
      <w:tr>
        <w:trPr>
          <w:trHeight w:val="209"/>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1,178</w:t>
            </w:r>
          </w:p>
        </w:tc>
        <w:tc>
          <w:tcPr>
            <w:tcW w:w="300" w:type="dxa"/>
            <w:vAlign w:val="bottom"/>
          </w:tcPr>
          <w:p>
            <w:pPr>
              <w:spacing w:after="0"/>
              <w:rPr>
                <w:sz w:val="16"/>
                <w:szCs w:val="16"/>
                <w:color w:val="auto"/>
              </w:rPr>
            </w:pP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debt discount recognized in connection with the</w:t>
            </w: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26"/>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w:t>
            </w: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paid-in-kind and applied to the Term Loan 2024</w:t>
            </w: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13"/>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6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expenses related to the Term Loan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0" w:type="dxa"/>
            <w:vAlign w:val="bottom"/>
          </w:tcPr>
          <w:p>
            <w:pPr>
              <w:spacing w:after="0"/>
              <w:rPr>
                <w:sz w:val="1"/>
                <w:szCs w:val="1"/>
                <w:color w:val="auto"/>
              </w:rPr>
            </w:pPr>
          </w:p>
        </w:tc>
      </w:tr>
      <w:tr>
        <w:trPr>
          <w:trHeight w:val="209"/>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8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6"/>
                <w:szCs w:val="16"/>
                <w:color w:val="auto"/>
              </w:rPr>
            </w:pP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12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debt discount recognized in connection with the</w:t>
            </w:r>
          </w:p>
        </w:tc>
        <w:tc>
          <w:tcPr>
            <w:tcW w:w="120" w:type="dxa"/>
            <w:vAlign w:val="bottom"/>
          </w:tcPr>
          <w:p>
            <w:pPr>
              <w:spacing w:after="0"/>
              <w:rPr>
                <w:sz w:val="18"/>
                <w:szCs w:val="18"/>
                <w:color w:val="auto"/>
              </w:rPr>
            </w:pPr>
          </w:p>
        </w:tc>
        <w:tc>
          <w:tcPr>
            <w:tcW w:w="11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w:t>
            </w: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paid-in-kind prior to the extinguishment of the</w:t>
            </w:r>
          </w:p>
        </w:tc>
        <w:tc>
          <w:tcPr>
            <w:tcW w:w="120" w:type="dxa"/>
            <w:vAlign w:val="bottom"/>
          </w:tcPr>
          <w:p>
            <w:pPr>
              <w:spacing w:after="0"/>
              <w:rPr>
                <w:sz w:val="18"/>
                <w:szCs w:val="18"/>
                <w:color w:val="auto"/>
              </w:rPr>
            </w:pPr>
          </w:p>
        </w:tc>
        <w:tc>
          <w:tcPr>
            <w:tcW w:w="11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13"/>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6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3,629</w:t>
            </w:r>
          </w:p>
        </w:tc>
        <w:tc>
          <w:tcPr>
            <w:tcW w:w="240" w:type="dxa"/>
            <w:vAlign w:val="bottom"/>
          </w:tcPr>
          <w:p>
            <w:pPr>
              <w:spacing w:after="0"/>
              <w:rPr>
                <w:sz w:val="16"/>
                <w:szCs w:val="16"/>
                <w:color w:val="auto"/>
              </w:rPr>
            </w:pPr>
          </w:p>
        </w:tc>
        <w:tc>
          <w:tcPr>
            <w:tcW w:w="3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419"/>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vMerge w:val="restart"/>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6"/>
                <w:szCs w:val="16"/>
                <w:color w:val="auto"/>
              </w:rPr>
            </w:pPr>
          </w:p>
        </w:tc>
        <w:tc>
          <w:tcPr>
            <w:tcW w:w="3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vMerge w:val="restart"/>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8060" w:space="260"/>
            <w:col w:w="2880"/>
          </w:cols>
          <w:pgMar w:left="320" w:top="1201" w:right="3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fair value hierarchy for its classified assets and liabilities measured at fair value on a recurring basis as of January 31, 2025 and April 30, 2024.</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54,686</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4280" w:type="dxa"/>
            <w:vAlign w:val="bottom"/>
            <w:tcBorders>
              <w:top w:val="single" w:sz="8" w:color="CFF0FC"/>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28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0"/>
        </w:trPr>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-1379220</wp:posOffset>
            </wp:positionV>
            <wp:extent cx="1714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-814070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-796290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-814070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-796290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-814070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-796290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cash and cash equivalents within the fair value hierarchy.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2025 and April 30, 2024, the fair value of the long-term debt, net of discounts, approximated $46,420 and $43,870,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spacing w:after="0" w:line="6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Term Loan was transferred out from the Level 2 fair value hierarchy during the nine months ended January 31, 2024. In the same period, Term Loan 2024 was transferred into the Level 2 fair value hierarchy. Other than those items, there were no transfers into or out of the Level 1, 2 or 3 fair value hierarchies during the nine months ended January 31, 2025, and 2024.</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Stockholder’s Deficit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had 5,000,000 shares of common stock authorized and 105,808 shares issued and outstanding with a par value of $0.01 as of January 31, 2025 and April 30, 2024. Each share of common stock is entitled to one vote. Contributions are recorded to additional paid-in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Preferred Stock</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2022, the Company amended and restated the Memorandum and Articles of Association of the Company, according to which the Company’s existing share capital of 5,000,000 shares can upon the discretion of the Company be issued in the form of either common and/or preferred stock with a par value of $0.01 each. Preferred stock issued is considered non-voting and are subject to preferred dividend accrued daily with a set payment “yield” capped at 4.7%. The preferred dividend is declared upon the discretion of the directors of the Company on the interim basis and paid out on the annual basis upon discretion of the Company, provided there are funds lawfully available for distribution. No dividends were declared as of the three and nine months ended January 31, 2025, and 2024. The cumulative unpaid dividends were $3,324 and $1,812 for the three months ended January 31, 2025, and 2024, respectively. The cumulative unpaid dividends were $9,030 and $4,727 for the nine months ended January 31, 2025, and 2024, respectively. In the event of liquidation, dissolution or winding up, assets will be applied first, to pay preferred stock dividends and second to pay issue price of preferred stock. Preferred stock may be exchanged to common shares at the option of the directors upon a successful public offering based on the criteria outlined by the directors of the Company.</w:t>
      </w:r>
    </w:p>
    <w:p>
      <w:pPr>
        <w:spacing w:after="0" w:line="8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2025, and 2024, the Company issued a total of 0 and 12,500 preferred shares, respectively, of the Parent for proceeds of $0 and $12,500, respectively. For the nine months ended January 31, 2025, and 2024, the Company issued a total of 103,400 and 62,500 preferred shares, respectively, to the Parent for proceeds of $103,400 and $62,500, respectively.</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preferred stock is presented within mezzanine equity as it is redeemable for cash or other assets and is redeemable upon the occurrence of an event that is not solely within the control of the Company (specifically, an initial public offering that is at the directors’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July 2024, West Affum Holdings Designated Activity Company (the “DAC”), a subsidiary of the Company, received a $17,100 investment from a third party (the “Investor”) in exchange for shares. The DAC sold the Investor 171 Class A Redeemable Ordinary Shares of the DAC at a price per share equal to $100,000 for an aggregate cash purchase price of $17,100. The Company allocates net income (loss) of the consolidated subsidiary to the Investor based on their proportional ownership. Concurrently with the execution and delivery of the agreement governing the Investor's investment into DAC, the Company entered into an agreement with the Investor and the Parent wherein, at the discretion of the Investor, the DAC’s Class A redeemable ordinary shares (“Class A Redeemable Ordinary Shares”) held by the Investor can be exchanged into common shares of the Company, and subsequently exchanged into class A common units of the Parent (“Class A Common Units”). The exchange ratio is calculated based on the DAC price per share of $100,000 and the Class A Common Unit price of $14.67 as of July 2024 which allows the Investor to exchange 171 DAC Class A Redeemable Ordinary Shares into 1,165,644.17 Class A Common Units of the Parent.</w:t>
      </w:r>
    </w:p>
    <w:p>
      <w:pPr>
        <w:spacing w:after="0" w:line="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There are no freestanding features requiring recognition or embedded features requiring bifurcation and there is no redemption feature that is not solely within the Company’s control. The agreement does not allow for a redemption for cash or other assets at a fixed or determinable price on a fixed or determinable date outside the Company’s control at the option of the Investor. Any redemption is at the discretion of the DAC. Therefore, the non-controlling interest is classified within permanent equity as it does not meet the liability or mezzanine-classification criteria.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Incentive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employees and contractors of the Company have been granted equity incentive units (“Incentive Units”) of the Parent. The Parent has the ability to issue any number of additional Incentive Units at its discretion. The Incentive Units allow the holder to participate in the equity of the Parent subject to participation thresholds as defined by the Parent. Upon termination, the Company has the right but not the obligation to repurchase vested Incentive Units at fair market value within seven months following termination.</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Parent has issued Incentive Units to certain employees of the Company, which vest based on continued service on a straight-line basis over the applicable service periods. Any unvested Incentive Units are automatically forfeited upon a separation. Incentive Units do not expire and have no exercise price. Compensation cost of Incentive Units is estimated on the date of grant.</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January 31, 2025 and April 30, 2024, total Incentive Units vested were 1,876,499 and 1,262,180, respectively. The total number of Incentive Units authorized is determined at the Parent’s discretion and is not limited.</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Incentive Units activity:</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2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Incentive Units</w:t>
            </w: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April 30, 2023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2,087,651</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(33,600 )</w:t>
            </w:r>
          </w:p>
        </w:tc>
      </w:tr>
      <w:tr>
        <w:trPr>
          <w:trHeight w:val="209"/>
        </w:trPr>
        <w:tc>
          <w:tcPr>
            <w:tcW w:w="2760" w:type="dxa"/>
            <w:vAlign w:val="bottom"/>
          </w:tcPr>
          <w:p>
            <w:pPr>
              <w:spacing w:after="0"/>
              <w:rPr>
                <w:sz w:val="18"/>
                <w:szCs w:val="18"/>
                <w:color w:val="auto"/>
              </w:rPr>
            </w:pPr>
          </w:p>
        </w:tc>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July 31, 2023</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2,106,751</w:t>
            </w:r>
          </w:p>
        </w:tc>
        <w:tc>
          <w:tcPr>
            <w:tcW w:w="80" w:type="dxa"/>
            <w:vAlign w:val="bottom"/>
            <w:tcBorders>
              <w:top w:val="single" w:sz="8" w:color="CFF0FC"/>
            </w:tcBorders>
          </w:tcPr>
          <w:p>
            <w:pPr>
              <w:spacing w:after="0"/>
              <w:rPr>
                <w:sz w:val="18"/>
                <w:szCs w:val="18"/>
                <w:color w:val="auto"/>
              </w:rPr>
            </w:pPr>
          </w:p>
        </w:tc>
      </w:tr>
      <w:tr>
        <w:trPr>
          <w:trHeight w:val="209"/>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(18,200 )</w:t>
            </w:r>
          </w:p>
        </w:tc>
      </w:tr>
      <w:tr>
        <w:trPr>
          <w:trHeight w:val="209"/>
        </w:trPr>
        <w:tc>
          <w:tcPr>
            <w:tcW w:w="276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2,145,851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(43,508 )</w:t>
            </w:r>
          </w:p>
        </w:tc>
      </w:tr>
      <w:tr>
        <w:trPr>
          <w:trHeight w:val="210"/>
        </w:trPr>
        <w:tc>
          <w:tcPr>
            <w:tcW w:w="2760" w:type="dxa"/>
            <w:vAlign w:val="bottom"/>
          </w:tcPr>
          <w:p>
            <w:pPr>
              <w:spacing w:after="0"/>
              <w:rPr>
                <w:sz w:val="18"/>
                <w:szCs w:val="18"/>
                <w:color w:val="auto"/>
              </w:rPr>
            </w:pPr>
          </w:p>
        </w:tc>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2,118,543</w:t>
            </w:r>
          </w:p>
        </w:tc>
        <w:tc>
          <w:tcPr>
            <w:tcW w:w="80" w:type="dxa"/>
            <w:vAlign w:val="bottom"/>
            <w:tcBorders>
              <w:top w:val="single" w:sz="8" w:color="CFF0FC"/>
            </w:tcBorders>
          </w:tcPr>
          <w:p>
            <w:pPr>
              <w:spacing w:after="0"/>
              <w:rPr>
                <w:sz w:val="18"/>
                <w:szCs w:val="18"/>
                <w:color w:val="auto"/>
              </w:rPr>
            </w:pPr>
          </w:p>
        </w:tc>
      </w:tr>
      <w:tr>
        <w:trPr>
          <w:trHeight w:val="88"/>
        </w:trPr>
        <w:tc>
          <w:tcPr>
            <w:tcW w:w="276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2,130,143</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(43,269 )</w:t>
            </w:r>
          </w:p>
        </w:tc>
      </w:tr>
      <w:tr>
        <w:trPr>
          <w:trHeight w:val="209"/>
        </w:trPr>
        <w:tc>
          <w:tcPr>
            <w:tcW w:w="2760" w:type="dxa"/>
            <w:vAlign w:val="bottom"/>
          </w:tcPr>
          <w:p>
            <w:pPr>
              <w:spacing w:after="0"/>
              <w:rPr>
                <w:sz w:val="18"/>
                <w:szCs w:val="18"/>
                <w:color w:val="auto"/>
              </w:rPr>
            </w:pPr>
          </w:p>
        </w:tc>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2,292,925</w:t>
            </w:r>
          </w:p>
        </w:tc>
        <w:tc>
          <w:tcPr>
            <w:tcW w:w="80" w:type="dxa"/>
            <w:vAlign w:val="bottom"/>
            <w:tcBorders>
              <w:top w:val="single" w:sz="8" w:color="CFF0FC"/>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915,548</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(98,050 )</w:t>
            </w:r>
          </w:p>
        </w:tc>
      </w:tr>
      <w:tr>
        <w:trPr>
          <w:trHeight w:val="209"/>
        </w:trPr>
        <w:tc>
          <w:tcPr>
            <w:tcW w:w="276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3,110,423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71,400</w:t>
            </w:r>
          </w:p>
        </w:tc>
        <w:tc>
          <w:tcPr>
            <w:tcW w:w="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 repurchased</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(51,086 )</w:t>
            </w:r>
          </w:p>
        </w:tc>
      </w:tr>
      <w:tr>
        <w:trPr>
          <w:trHeight w:val="209"/>
        </w:trPr>
        <w:tc>
          <w:tcPr>
            <w:tcW w:w="2760" w:type="dxa"/>
            <w:vAlign w:val="bottom"/>
          </w:tcPr>
          <w:p>
            <w:pPr>
              <w:spacing w:after="0"/>
              <w:rPr>
                <w:sz w:val="18"/>
                <w:szCs w:val="18"/>
                <w:color w:val="auto"/>
              </w:rPr>
            </w:pPr>
          </w:p>
        </w:tc>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3,130,737</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-2493645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-1919605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-1636395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-1010920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-436245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-153670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of its unaudited interim condensed consolidated statements of operations and comprehensive loss:</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96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3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and April 30, 2024, total unvested Incentive Units were 1,254,238 and 867,963, respectively.</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January 31, 2025, unrecognized compensation cost for outstanding Incentive Units was $2,927, with the weighted-average period over which this cost is expected to be recognized at 2.49 years. As of April 30, 2024, unrecognized compensation cost for outstanding Incentive Units was $3,389, with the weighted-average period over which this cost is expected to be recognized at 3.18 years.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Incentive Units, the fair value for each Incentive Unit has been estimated at the date of grant using the Black-Scholes or probability-weighted expected return method (“PWERM”) models.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PWERM approach estimated its enterprise value. This method considered various exit scenarios including an initial public offering, or staying private, and assigned a probability weight to each scenario. Using the PWERM, the enterprise value under each potential exit scenario and the timing of each scenario were weighted based on the estimated probability of occurrence for such scenario. The Company’s equity values under the initial public offering scenarios were each estimated using the market approach based on the valuation of comparable public companies.</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is no intrinsic value or exercise price associated with these Incentive Units as they are participation units rather than options. The weighted average significant assumptions used in these calculations were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920" w:type="dxa"/>
            <w:vAlign w:val="bottom"/>
            <w:gridSpan w:val="2"/>
          </w:tcPr>
          <w:p>
            <w:pPr>
              <w:spacing w:after="0"/>
              <w:rPr>
                <w:sz w:val="20"/>
                <w:szCs w:val="20"/>
                <w:color w:val="auto"/>
              </w:rPr>
            </w:pPr>
          </w:p>
        </w:tc>
      </w:tr>
      <w:tr>
        <w:trPr>
          <w:trHeight w:val="210"/>
        </w:trPr>
        <w:tc>
          <w:tcPr>
            <w:tcW w:w="7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FF0FC"/>
          </w:tcPr>
          <w:p>
            <w:pPr>
              <w:spacing w:after="0"/>
              <w:rPr>
                <w:sz w:val="18"/>
                <w:szCs w:val="18"/>
                <w:color w:val="auto"/>
              </w:rPr>
            </w:pP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60.0 %</w:t>
            </w:r>
          </w:p>
        </w:tc>
        <w:tc>
          <w:tcPr>
            <w:tcW w:w="3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90.0 %</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to liquidity</w:t>
            </w:r>
          </w:p>
        </w:tc>
        <w:tc>
          <w:tcPr>
            <w:tcW w:w="220" w:type="dxa"/>
            <w:vAlign w:val="bottom"/>
          </w:tcPr>
          <w:p>
            <w:pPr>
              <w:spacing w:after="0"/>
              <w:rPr>
                <w:sz w:val="18"/>
                <w:szCs w:val="18"/>
                <w:color w:val="auto"/>
              </w:rPr>
            </w:pPr>
          </w:p>
        </w:tc>
        <w:tc>
          <w:tcPr>
            <w:tcW w:w="2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 years</w:t>
            </w:r>
          </w:p>
        </w:tc>
        <w:tc>
          <w:tcPr>
            <w:tcW w:w="32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 years</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20" w:type="dxa"/>
            <w:vAlign w:val="bottom"/>
            <w:shd w:val="clear" w:color="auto" w:fill="CFF0FC"/>
          </w:tcPr>
          <w:p>
            <w:pPr>
              <w:spacing w:after="0"/>
              <w:rPr>
                <w:sz w:val="18"/>
                <w:szCs w:val="18"/>
                <w:color w:val="auto"/>
              </w:rPr>
            </w:pP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4.88 %</w:t>
            </w:r>
          </w:p>
        </w:tc>
        <w:tc>
          <w:tcPr>
            <w:tcW w:w="3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18"/>
                <w:szCs w:val="18"/>
                <w:color w:val="auto"/>
              </w:rPr>
            </w:pP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432"/>
        </w:trPr>
        <w:tc>
          <w:tcPr>
            <w:tcW w:w="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weighted average grant date fair value of Incentive Units outstanding as of January 31, 2025 and April 30, 2024 were $4.38 and $5.65, respectively.</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directors and advisors of the Company have also been granted 17,149 shares of restricted common shares and 25,562 shares of restricted class A common units of the Parent (“RSA”) between September 1, 2022 and November 3, 2024, with a vesting period of 3 years. As of January 31, 2025, 8,575 and 8,575 restricted common units and 3,408 and 32,379 of restricted class A common units were vested and unvested, respectively. As of April 30, 2024, 2,858 and 14,291 restricted common units were vested and unvested, respectively. All restricted class A common units were granted after April 30, 2024. Share-based compensation expense associated with restricted common units and restricted class A common units has historically been immaterial and recorded within selling, general and administrative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provision for income taxes and effective tax rates: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3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09"/>
        </w:trPr>
        <w:tc>
          <w:tcPr>
            <w:tcW w:w="25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1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8"/>
                <w:szCs w:val="18"/>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12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3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subject to U.S. federal income tax as well as income tax in various states. Additionally, the Company consists of a Cayman Islands parent company with subsidiaries in the U.S. and Ireland. Under the current laws of the Cayman Islands, the Company is not subject to tax on its income. The Company accounts for the provision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an estimate of the annual effective tax rate for the full year to be applied to the interim period, taking into account year-to-date amounts and projected results for the full year.</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varies from the statutory Irish tax rate due to the effect of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January 31, 2025 and April 30, 2024, the Company provided a full valuation allowance against its net deferred tax assets that we believe, based on the weight of available evidence, are not more likely than not to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they’re realized or realizable.</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January 31, 2025 and April 30, 2024. The Company is unable to determine the maximum potential impact of these indemnifications on the future results of operations.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currently no other claims or actions pending against the Company where the ultimate disposition could have a material effect on the Company’s results of operations, financial condition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22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three months ended January 31, 2025, and 2024, matching and discretionary contributions by the Company totaled $444 and $290, respectively. For the nine months ended January 31, 2025, and 2024, matching and discretionary contributions by the Company totaled $1,210 and $971, respectively.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Stockholder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the common stockholder is calculated by dividing net loss by the weighted average number of shares of common stock outstanding during the period and excludes any dilutive effects of employee stock-based awards. Diluted net loss per share attributable to the common stockholder is computed giving effect to all potentially dilutive shares of common stock, including common stock issuable upon vesting of stock-based payment awards. For the nine months ended January 31, 2025, and 2024, the Company did not have any dilutive shares. For both periods presented, there is no difference in the number of shares used to compute basic and diluted shares outstanding due to the Company’s net loss position.</w:t>
      </w:r>
    </w:p>
    <w:p>
      <w:pPr>
        <w:spacing w:after="0" w:line="7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net loss per share for the periods ended January 31, 2025 and April 30, 2024 include 280,510 and 177,110 shares of redeemable preferred stock, respectively. Based on the conversion terms of the redeemable preferred stock and circumstances existing as of January 31, 2025 and April 30, 2024, the Company is unable to quantify the quantity of shares of common shares the redeemable preferred stock is exchangeable into.</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connection with the Organizational Transactions, Parent contributed its 105,808 shares of common stock in the Company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19,885,382 Common Shares of Kestra Medical Technologies, Ltd. (“Exchange”). Under the principles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the Exchange was applied retrospectively for purposes of calculating basic and diluted net loss per share. The total number of outstanding shares disclosed on the face of the unaudited condensed consolidated balance sheets and unaudited condensed consolidated statements of changes in redeemable preferred stock and stockholder’s deficit represents the number of shares legally outstanding as of the latest unaudited condensed balance sheet date. This differs from the number of outstanding shares disclosed for basic and diluted net loss per share, which has been retrospectively adjusted to reflect the Exchange.</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transactions that closed contemporaneously with the Organizational Transactions, including conversions of preferred stock, non-controlling interests, and equity awards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not given retrospective treatment.</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Due to the Company’s net losses, all potential common shares of the Company prior to the Exchange continued to be anti-dilutive following the Exchange. Additionally, Kestra Medical Technologies, Ltd. has no assets, liabilities, or operations and did not have any material equity transactions during the periods presented in these unaudited condensed financial statements. Therefore, the impact of the retrospective application of the Exchange for purposes of calculating basic and diluted net loss per share was limited to reflecting the shares of Kestra Medical Technologies, Ltd. issued in connection with the Exchange as the weighted average number of shares of common stock outstanding for basic and diluted net loss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common stockholder: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31,</w:t>
            </w:r>
          </w:p>
        </w:tc>
        <w:tc>
          <w:tcPr>
            <w:tcW w:w="160" w:type="dxa"/>
            <w:vAlign w:val="bottom"/>
          </w:tcPr>
          <w:p>
            <w:pPr>
              <w:spacing w:after="0"/>
              <w:rPr>
                <w:sz w:val="20"/>
                <w:szCs w:val="20"/>
                <w:color w:val="auto"/>
              </w:rPr>
            </w:pPr>
          </w:p>
        </w:tc>
        <w:tc>
          <w:tcPr>
            <w:tcW w:w="29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4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West Affum Intermediate Holdings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(21,619 )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(71,836 )</w:t>
            </w: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Undeclared preferred dividends</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(3,324 )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(1,812 )</w:t>
            </w: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(9,030 )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r>
      <w:tr>
        <w:trPr>
          <w:trHeight w:val="20"/>
        </w:trPr>
        <w:tc>
          <w:tcPr>
            <w:tcW w:w="4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(24,833 )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(23,431 )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(70,791 )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(76,563 )</w:t>
            </w:r>
          </w:p>
        </w:tc>
      </w:tr>
      <w:tr>
        <w:trPr>
          <w:trHeight w:val="21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basic and diluted</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-839470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-839470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-839470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Incentive Units issued and outstanding under an equity incentive plan that may be settled in common units of the Parent. The Parent also issued warrants in connection with the draws of the first and second tranches under the Term Loan and the first tranche under the Term Loan 2024 that may be settled in common units of the Parent. The Incentive Units and warrants are not considered participating securities as they do not participate in undistributed earnings of the Company and therefore, would not be included in the calculation of both the basic and diluted loss per share.</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non-controlling interest is in the form of Class A redeemable ordinary shares and can be exchanged into common shares of the Company and subsequently exchanged into Class A common units of the Parent. There is no redemption feature that is not solely within the Company’s control, thus, the non-controlling interest is not entitled to receive dividends from the Company. The non-controlling interest is not considered to be participating securities and is not included in the calculation of basic or diluted loss per share.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right="80"/>
        <w:spacing w:after="0" w:line="282" w:lineRule="auto"/>
        <w:rPr>
          <w:sz w:val="20"/>
          <w:szCs w:val="20"/>
          <w:color w:val="auto"/>
        </w:rPr>
      </w:pPr>
      <w:r>
        <w:rPr>
          <w:rFonts w:ascii="Times New Roman" w:cs="Times New Roman" w:eastAsia="Times New Roman" w:hAnsi="Times New Roman"/>
          <w:sz w:val="18"/>
          <w:szCs w:val="18"/>
          <w:color w:val="auto"/>
        </w:rPr>
        <w:t>The restricted common units and restricted Class A common units granted to certain directors represent equity interests in the Parent. Each of these classes of units are not considered to be participating securities and are not included in the calculation of basic or diluted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unaudited interim condensed consolidated financial statements were available to be issued on April 17, 2025.</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7, 2025, Kestra Medical Technologies, Ltd. completed an initial public offering in which it issued and sold 11,882,352 Common Shares at an offering price of $17.00 per share for total net proceeds of $187.6 million after deducting underwriting discounts and commissions of $14.4 million. On March 14, 2025, the underwriters exercised the option to purchase 1,782,352 additional Common Shares at an offering price of $17.00 per share, resulting in additional net proceeds of $28.2 million after deducting underwriting discounts and commissions of $2.1 million. In connection with the IPO, the Company’s outstanding redeemable preferred stock and common stock were exchanged into Common Shares of Kestra Medical Technologies, Ltd. Also in connection with the IPO, Class A Redeemable Ordinary Shares of the DAC were exchanged into common units of the Parent, and the Parent will hold Common Shares of Kestra Medical Technologies, Ltd. for the benefit of the holders of common units in the Parent. Following the IPO, Kestra Medical Technologies, Ltd. controls and operates all business and affairs and consolidates the financial results of the Company and its subsidiaries.</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IPO, the warrant issued to Perceptive Credit Holdings IV, LP on September 29, 2023 was cancelled and replaced with a new warrant to purchase up to 325,847 Common Shares of Kestra Medical Technologies, Ltd. with an exercise price of $11.54. Perceptive Credit Holdings IV, LP is the administrative agent and a lender under the Term Loan 2024, which was amended in February 2025 to adjust the revenue milestones applicable to the debt covenants therein and amend the ability to draw additional loans under its third tranche of Term Loan 2024 to allow for the ability to draw an additional $15.0 million through July 31, 2026, upon the achievement of revenue of at least $60.0 million for any twelve consecutive month period prior to the third tranche’s borrowing date. Upon the funding of additional amounts under the third tranche of Term Loan 2024, Kestra Medical Technologies, Ltd. will issue additional warrants to Perceptive Credit Holdings IV, LP equal to 10% of the amount funded. Additionally, in connection with the IPO, warrants issued to Kennedy Lewis Capital Partners Master Fund II LP on December 28, 2020 and March 7, 2022 were cancelled and replaced with new warrants to purchase up to 62,325 Common Shares of Kestra Medical Technologies, Ltd. with an exercise price of $17.81 per Common Share and 46,744 Common Shares of Kestra Medical Technologies, Ltd. with an exercise price of $20.65 per Common Share, respectively.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 should be read in conjunction with our unaudited condensed consolidated financial statements and the related notes to those statements included in this Quarterly Report on Form 10-Q and our audited consolidated financial statements and the related notes and the discussion under the heading “Management’s Discussion and Analysis of Financial Condition and Results of Operations” for the fiscal years ended April 30, 2024 and 2023 included in our IPO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Part II, Item 1A, “Risk Factors” in this Quarterly Report on Form 10-Q and in the sections entitled “Risk Factors” and “Special Note Regarding Forward-Looking Statements” in the IPO Prospectus.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w:t>
      </w:r>
    </w:p>
    <w:p>
      <w:pPr>
        <w:spacing w:after="0" w:line="8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products for the foreseeable future.</w:t>
      </w:r>
    </w:p>
    <w:p>
      <w:pPr>
        <w:spacing w:after="0" w:line="7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spacing w:after="0" w:line="72"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7"/>
          <w:szCs w:val="17"/>
          <w:color w:val="auto"/>
        </w:rPr>
        <w:t>Our fiscal year ends on April 30 of each year. We incurred net losses of $21.8 million and $21.6 million for the three months ended January 31, 2025 and 2024, respectively. We incurred net losses of $62.7 million and $71.8 million for the nine months ended January 31, 2025 and 2024, respectively. We generated revenue of $15.1 million and gross margin of $6.5 million for the three months ended January 31, 2025, compared to revenue of $8.3 million and gross margin of $0.9 million for the three months ended January 31, 2024. We generated revenue of $42.6 million and gross margin of $16.6 million for the nine months ended January 31, 2025, compared to revenue of $17.8 million and gross margin of $(1.0) million for the nine months ended January 31, 2024. As of January 31, 2025, we had cash and cash equivalents balances of $54.4 million, and an accumulated deficit of $468.2 million.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From our inception to the consummation of the IPO, our operations were primarily funded by proceeds from our capital contributions made by West Affum Holdings, L.P., our direct parent prior to the Organizational Transactions (as defined in Note 1, “</w:t>
      </w:r>
      <w:r>
        <w:rPr>
          <w:rFonts w:ascii="Times New Roman" w:cs="Times New Roman" w:eastAsia="Times New Roman" w:hAnsi="Times New Roman"/>
          <w:sz w:val="18"/>
          <w:szCs w:val="18"/>
          <w:i w:val="1"/>
          <w:iCs w:val="1"/>
          <w:color w:val="auto"/>
        </w:rPr>
        <w:t>Nature of Operations and Liquidity</w:t>
      </w:r>
      <w:r>
        <w:rPr>
          <w:rFonts w:ascii="Times New Roman" w:cs="Times New Roman" w:eastAsia="Times New Roman" w:hAnsi="Times New Roman"/>
          <w:sz w:val="18"/>
          <w:szCs w:val="18"/>
          <w:color w:val="auto"/>
        </w:rPr>
        <w:t>,” to our unaudited condensed consolidated financial statements and related notes included elsewhere in this Quarterly Report on Form 10-Q), in the form of common stock and redeemable preferred stock, and borrowings under our Term Loan 2024 (as defined below), as well as borrowings under our Term Loan (as defined below) prior to its repayment in September of 2023. For more information, see “—Liquidity and Capital Resources—Sources of Liquidity” and Note 10,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to our unaudited condensed consolidated financial statements and related notes included elsewhere in this Quarterly Report on Form 10-Q.</w:t>
      </w:r>
    </w:p>
    <w:p>
      <w:pPr>
        <w:spacing w:after="0" w:line="81"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Pursuant to the Organizational Transactions and the IPO, Kestra Medical Technologies, Ltd. issued and sold an aggregate of 13,664,704 Common Shares at an offering price of $17.00 per share for net proceeds of $215.8 million, after deducting underwriting discounts and commissions, which includes the net proceeds from the underwriters’ exercise in full of the over-allotment option. The Organizational Transactions and IPO were initially completed on March 7, 2025 and the underwriters’ over-allotment option was completed on March 14, 2025.</w:t>
      </w:r>
    </w:p>
    <w:p>
      <w:pPr>
        <w:spacing w:after="0" w:line="7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the net proceeds from our IPO, together with our existing cash and cash equivalents and cash generated from revenue transactions with patients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have impacted, and that we expect will continue to impact, our operating performance and results of operations include:</w:t>
      </w:r>
    </w:p>
    <w:p>
      <w:pPr>
        <w:spacing w:after="0" w:line="113" w:lineRule="exact"/>
        <w:rPr>
          <w:sz w:val="20"/>
          <w:szCs w:val="20"/>
          <w:color w:val="auto"/>
        </w:rPr>
      </w:pPr>
    </w:p>
    <w:p>
      <w:pPr>
        <w:ind w:left="1020" w:right="8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 Organization</w:t>
      </w:r>
      <w:r>
        <w:rPr>
          <w:rFonts w:ascii="Times New Roman" w:cs="Times New Roman" w:eastAsia="Times New Roman" w:hAnsi="Times New Roman"/>
          <w:sz w:val="18"/>
          <w:szCs w:val="18"/>
          <w:color w:val="auto"/>
        </w:rPr>
        <w:t>. We have made and continue to make significant investments in recruiting, training and retaining our direct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force and supporting commercial infrastructure. Successfully recruiting and training additional commercial team members is required to achieve growth. As of January 2025, we had approximately 70 territory managers in the United States. We have in the past and expect in the future to enter into compensation arrangements with our commercial team that may include minimum guaranteed commissions.</w:t>
      </w:r>
    </w:p>
    <w:p>
      <w:pPr>
        <w:spacing w:after="0" w:line="68" w:lineRule="exact"/>
        <w:rPr>
          <w:rFonts w:ascii="Times New Roman" w:cs="Times New Roman" w:eastAsia="Times New Roman" w:hAnsi="Times New Roman"/>
          <w:sz w:val="18"/>
          <w:szCs w:val="18"/>
          <w:color w:val="auto"/>
        </w:rPr>
      </w:pPr>
    </w:p>
    <w:p>
      <w:pPr>
        <w:ind w:left="1020" w:right="14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Margin</w:t>
      </w:r>
      <w:r>
        <w:rPr>
          <w:rFonts w:ascii="Times New Roman" w:cs="Times New Roman" w:eastAsia="Times New Roman" w:hAnsi="Times New Roman"/>
          <w:sz w:val="18"/>
          <w:szCs w:val="18"/>
          <w:color w:val="auto"/>
        </w:rPr>
        <w:t>. Our results of operations will depend, in part, on our ability to increase our gross margins by more effectively managing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spacing w:after="0" w:line="68"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Payor Coverage and Revenue Cycle Management</w:t>
      </w:r>
      <w:r>
        <w:rPr>
          <w:rFonts w:ascii="Times New Roman" w:cs="Times New Roman" w:eastAsia="Times New Roman" w:hAnsi="Times New Roman"/>
          <w:sz w:val="18"/>
          <w:szCs w:val="18"/>
          <w:color w:val="auto"/>
        </w:rPr>
        <w:t>. Healthcare providers in the United States generally rely on third-party payors, principally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Seasonality</w:t>
      </w:r>
      <w:r>
        <w:rPr>
          <w:rFonts w:ascii="Times New Roman" w:cs="Times New Roman" w:eastAsia="Times New Roman" w:hAnsi="Times New Roman"/>
          <w:sz w:val="18"/>
          <w:szCs w:val="18"/>
          <w:color w:val="auto"/>
        </w:rPr>
        <w:t>. Our billings and collections efforts during January and February tend to be lower because of resetting annual patient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plan deductibles. In addition, as our business grows in the United States and any international markets we may enter into in the future, we may experience seasonality based on holidays, vacations and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discussion describes certain key components of our consolidated statement of operations.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Costs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costs of revenue is expected to decrease in the long run through economies of scale as we continue to grow our business. For additional information on how depreciation impacts our financial results, see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unaudited condensed consolidated financial statements included elsewhere in this Quarterly Report on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calculate gross margin as revenue less costs of revenue. We expect our gross margin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margin may be negatively impacted by a number of factors, including increases in prices of materials and electronics components, labor rates, shipping rates, and inflation.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including salaries, benefits and stock-based compensation expense for product development personnel, prototype materials and other expenses related to the development of new products. We expense research and development costs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spacing w:after="0" w:line="7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costs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Selling expenses consist primarily of personnel expenses, including salaries, commissions, bonuses, benefits, travel, and stock-based compensation expense for sales, marketing and field clinical personnel, as well as investments in marketing initiatives to increase market awareness of our technology, including expenses related to travel, conferences, trade shows and consulting services.</w:t>
      </w:r>
    </w:p>
    <w:p>
      <w:pPr>
        <w:spacing w:after="0" w:line="6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stock-based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costs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firstLine="749"/>
        <w:spacing w:after="0" w:line="255" w:lineRule="auto"/>
        <w:rPr>
          <w:sz w:val="20"/>
          <w:szCs w:val="20"/>
          <w:color w:val="auto"/>
        </w:rPr>
      </w:pPr>
      <w:r>
        <w:rPr>
          <w:rFonts w:ascii="Times New Roman" w:cs="Times New Roman" w:eastAsia="Times New Roman" w:hAnsi="Times New Roman"/>
          <w:sz w:val="18"/>
          <w:szCs w:val="18"/>
          <w:color w:val="auto"/>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Interest and other expense (income) consists of cash and non-cash components. The cash component of interest expense is attributable to borrowings under our term loans and a portion of loss on extinguishment of debt. The non-cash component consists of interest expense recognized from the amortization of debt discounts and debt issuance costs. Loss on extinguishment of debt is part of other expense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To date, we have recorded a limited amount of United States federal and state income state expense.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January 31, 2025 and 2024</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three and nine months ended January 31, 2025 and 2024. We have derived the data for the three and nine months ended January 31, 2025 and 2024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for historical periods are not necessarily indicative of the results of operations for any future period, and our interim results are not necessarily indicative of the results to be expected for the full year.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(382 )</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(20,601 )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(19,946 )</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(655 )</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(628 )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(628 )</w:t>
            </w: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(21,741 )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(21,605 )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(21,759 )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(21,619 )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(250 )</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(250 )</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5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and comprehensive loss attributable to West Affum Intermediate</w:t>
            </w:r>
          </w:p>
        </w:tc>
        <w:tc>
          <w:tcPr>
            <w:tcW w:w="4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Holdings Corp</w:t>
            </w: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(21,509 )</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(21,619 )</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(24,833 )</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(23,431 )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(1,402 )</w:t>
            </w: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80" w:type="dxa"/>
            <w:vAlign w:val="bottom"/>
          </w:tcPr>
          <w:p>
            <w:pPr>
              <w:spacing w:after="0"/>
              <w:rPr>
                <w:sz w:val="24"/>
                <w:szCs w:val="24"/>
                <w:color w:val="auto"/>
              </w:rPr>
            </w:pPr>
          </w:p>
        </w:tc>
        <w:tc>
          <w:tcPr>
            <w:tcW w:w="538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-2759710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-2759710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-2759710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-2759710</wp:posOffset>
            </wp:positionV>
            <wp:extent cx="1543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-925195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-908050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-925195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-908050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-925195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-908050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-925195</wp:posOffset>
            </wp:positionV>
            <wp:extent cx="1543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-908050</wp:posOffset>
            </wp:positionV>
            <wp:extent cx="1543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tbl>
      <w:tblPr>
        <w:tblLayout w:type="fixed"/>
        <w:tblInd w:w="8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January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(1,035 )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1702 %</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(1,403 )</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(58,166 )</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(64,714 )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(1,543 )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(1,543 )</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(2,703 )</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(62,670 )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(71,785 )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(62,703 )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(71,836 )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(942 )</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(942 )</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1"/>
        </w:trPr>
        <w:tc>
          <w:tcPr>
            <w:tcW w:w="6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and comprehensive loss attributable to West Affum Intermediate</w:t>
            </w: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Holdings Corp</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(61,761 )</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(71,836 )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2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(70,791 )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(76,563 )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-1859280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-1859280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-1859280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-1859280</wp:posOffset>
            </wp:positionV>
            <wp:extent cx="1543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154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1543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4" w:lineRule="exact"/>
        <w:rPr>
          <w:sz w:val="20"/>
          <w:szCs w:val="20"/>
          <w:color w:val="auto"/>
        </w:rPr>
      </w:pPr>
    </w:p>
    <w:p>
      <w:pPr>
        <w:ind w:right="542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January 31, 2025 and 2024 Revenue</w:t>
      </w:r>
    </w:p>
    <w:p>
      <w:pPr>
        <w:spacing w:after="0" w:line="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January 31, 2025 increased by $6.8 million, or 82%, compared to the three months ended January 31, 2024. Revenue growth was primarily driven by an increase in the number of patients using our products and an increase in reimbursement realization while reimbursement rates remained largely flat. There was a 57% increase in the number of patients using our products, along with a 16% increase in reimbursement realization due to additional payor contracts and a 44% increase in the size of our revenue cycle management team to improve collection efforts.</w:t>
      </w:r>
    </w:p>
    <w:p>
      <w:pPr>
        <w:spacing w:after="0" w:line="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Revenue for the nine months ended January 31, 2025 increased by $24.8 million, or 140%, compared to the nine months ended January 31, 2024. Revenue growth was primarily driven by an increase in the number of patients using our products and an increase in reimbursement realization while reimbursement rates remained largely flat. There was a 112% increase in the number of patients using our products, along with a 13% increase in reimbursement realization due to additional payor contracts and a 44% increase in the size of our revenue cycle management team to improve collection efforts.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Costs of revenue for the three months ended January 31, 2025 increased by $1.1 million, or 15%, compared to the three months ended January 31, 2024. The increase was primarily driven by an increase of $2.0 million in the cost of disposable medical equipment supplies, equipment reconditioning and other supplier costs, which were directly attributable to an increase in the number of patients using our product, and an increase of $0.5 million in reserve for lost or damaged equipment, partially offset by $1.4 million in savings from volume purchases of reusable and disposable components and continued manufacturing process improvements.</w:t>
      </w:r>
    </w:p>
    <w:p>
      <w:pPr>
        <w:spacing w:after="0" w:line="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Costs of revenue for the nine months ended January 31, 2025 increased by $7.2 million, or 38%, compared to the nine months ended January 31, 2024. The increase was primarily driven by an increase of $7.6 million in the cost of disposable medical equipment supplies, equipment reconditioning and other supplier costs, which were directly attributable to an increase in the number of patients using our product, an increase of $1.0 million in reserve for lost or damaged equipment, and an increase of $0.4 million in inbound freight, partially offset by a $1.8 million in savings from volume purchases of reusable and disposable components and continued manufacturing process improvements.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Gross margin for the three and nine months ended January 31, 2025 increased by $5.7 million and $17.6 million, or 644% and 1,702%, compared to the three and nine months ended January 31, 2024, respectively. The increase was primarily due to growth in both our total revenue, which was driven by the increased number of patients using our product, as well as an increase in revenue per patient as a result of an increase in reimbursement realization due to an increased number of payor contracts resulting in a higher percentage of patients having greater in-network coverage through their insurance providers and improved collection efforts driven by further increases in the size of our revenue cycle management team. The increase in gross margin was also driven by a decrease in cost of revenues per patient by 27% and 35% for the three and nine months ended January 31, 2025 compared to the three and nine months ended January 31, 2024, respectively, due to further improvements in the utilization of our rental pool of medical equipment and lower disposable costs driven by volume and manufacturing cost improvement programs we implemented during the nine months ended January 31, 2025, including a therapy cable repair program approved by the FDA in May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three months ended January 31, 2025 decreased by $0.4 million, or 10%, compared to the three months ended January 31, 2024. The decrease was primarily driven by a $0.2 million decrease in contractor costs and a $0.2 million decrease in engineering services costs.</w:t>
      </w:r>
    </w:p>
    <w:p>
      <w:pPr>
        <w:spacing w:after="0" w:line="6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nine months ended January 31, 2025 decreased by $1.4 million, or 12%, compared to the nine months ended January 31, 2024. The decrease was primarily driven by decreases of $0.9 million in contractor costs, a $0.3 million in cost of materials and supplies, and a $0.2 million in engineering services.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January 31, 2025 increased by $6.7 million, or 39%, compared to the three months ended January 31, 2024. The increase was primarily driven by a $3.6 million increase in personnel expenses such as salaries, benefits and stock-based compensation, resulting from an increase in headcount, a $1.9 million increase in professional services expense related to the IPO, a $0.6 million increase in travel expenses driven by increased headcount, and a net $0.6 million increase in other selling, general and administrative expenses.</w:t>
      </w:r>
    </w:p>
    <w:p>
      <w:pPr>
        <w:spacing w:after="0" w:line="7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January 31, 2025 increased by $12.5 million, or 24%, compared to the nine months ended January 31, 2024. The increase was primarily driven by a $9.4 million increase in personnel expenses such as salaries, benefits and stock-based compensation, resulting from an increase in headcount, a $1.9 million increase in professional services expense related to the IPO, a $1.1 million increase in travel expenses driven by increased headcount, and a net $0.1 million increase in other selling, general and administrative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three months ended January 31, 2025 remained largely flat compared to the three months ended January 31, 2024.</w:t>
      </w:r>
    </w:p>
    <w:p>
      <w:pPr>
        <w:spacing w:after="0" w:line="11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January 31, 2025 increased by $1.7 million, or 39%, compared to the nine months ended January 31, 2024. The increase was primarily due to $1.1 million increase in interest expense and amortization of debt discounts and debt issuance costs related to borrowings under our Term Loan 2024 and $0.6 million interest charged by a major vendor.</w:t>
      </w:r>
    </w:p>
    <w:p>
      <w:pPr>
        <w:spacing w:after="0" w:line="6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January 31, 2025 increased by $0.6 million, or 100%, compared to the three months ended January 31, 2024. The increase was due to $0.6 million interest income received from various interest-bearing bank accounts.</w:t>
      </w:r>
    </w:p>
    <w:p>
      <w:pPr>
        <w:spacing w:after="0" w:line="54"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Interest income for the nine months ended January 31, 2025 increased by $1.5 million, or 100%, compared to the nine months ended January 31, 2024. The increase was due to $1.5 million interest income received from various interest-bearing bank accounts.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 (income) for the three months ended January 31, 2025 remained largely flat compared to the three months ended January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Other expense (income) for the nine months ended January 31, 2025, decreased by $2.7 million compared to the nine months ended January 31, 2024. The decrease was attributable to an early loan termination fee and a loss on debt extinguishment totaling $2.7 million related to our Term Loan that occurred in September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500" w:firstLine="749"/>
        <w:spacing w:after="0" w:line="261" w:lineRule="auto"/>
        <w:rPr>
          <w:sz w:val="20"/>
          <w:szCs w:val="20"/>
          <w:color w:val="auto"/>
        </w:rPr>
      </w:pPr>
      <w:r>
        <w:rPr>
          <w:rFonts w:ascii="Times New Roman" w:cs="Times New Roman" w:eastAsia="Times New Roman" w:hAnsi="Times New Roman"/>
          <w:sz w:val="18"/>
          <w:szCs w:val="18"/>
          <w:color w:val="auto"/>
        </w:rPr>
        <w:t>For each of the three and nine months ended January 31, 2025 and 2024, the tax provision was less than $0.1 million, which was primarily related to state tax liabilities in the United States.</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$21.8 million and $21.6 million for the three months ended January 31, 2025, and 2024, respectively. Our net loss and comprehensive loss were $62.7 million and $71.8 million for the nine months ended January 31, 2025, and 2024, respectively. As of January 31, 2025, we had an accumulated deficit of $468.2 million. For the nine months ended January 31, 2025, and 2024, we generated negative operating cash flows of $53.9 million and $57.3 million, respectively.</w:t>
      </w:r>
    </w:p>
    <w:p>
      <w:pPr>
        <w:spacing w:after="0" w:line="84"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of January 31, 2025, and April 30, 2024, our principal sources of liquidity consisted of $54.4 million and $8.2 million of cash and cash equivalents, respectively. We amended the Term Loan 2024 facility on February 25, 2025, to adjust the revenue milestone to the debt covenant associated with the third tranche. We also raised $215.8 million in March 2025 in connection with the IPO after deducting underwriting discounts and commissions and before deducting estimated offering costs. Based on our current operating plan, we believe that our existing cash and cash equivalents, which includes the net proceeds from our IPO, as well as cash generated from revenue transactions with patients, will be sufficient to fund our operating and capital needs for at least the next 12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Contractual Obligations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driven by substantial research and development costs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costs, and costs of building the commercial team and necessary infrastructure to support our growth. Cash used to fund our operating expenses is impacted by the timing of when we pay for such expenses.</w:t>
      </w:r>
    </w:p>
    <w:p>
      <w:pPr>
        <w:spacing w:after="0" w:line="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which includes the net proceeds from our IPO, as well as cash generated from revenue transactions with patients,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spacing w:after="0" w:line="81"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prior to its repayment in September of 2023, our Term Loan, and our revenues. We expect our cash generation from operations and future ability to refinance or secure additional equity or financing to be sufficient to repay our outstanding debt obligations. As of January 31, 2025, the outstanding principal amount under the Term Loan 2024 was approximately $45.0 million. The Term Loan was repaid in full in September 2023. 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unaudited condensed consolidated financial statements included elsewhere in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the nine months ended January 31, 2025 and 2024, we received $103.4 million and $62.5 million, respectively, in cash from West Affum Holdings, L.P. in return for the issuance of redeemable preferred stock as described in Note 10,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to our unaudited condensed consolidated financial statements included elsewhere in this Quarterly Report on Form 10-Q. Additionally, in July 2024, one of our subsidiaries received $17.1 million from a third-party investor in return for redeemable shares of the subsidiary. As of January 31, 2025, we had cash and cash equivalents and restricted cash balances of $54.7 million and an accumulated deficit of $468.2 million. In the three months ended January 31, 2024, we received $12.5 million in cash from West Affum Holdings, L.P. in return for the issuance of redeemable preferred stock.</w:t>
      </w:r>
    </w:p>
    <w:p>
      <w:pPr>
        <w:spacing w:after="0" w:line="7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September 24, 2020, we entered into the Loan and Security Agreement with a lender providing for aggregate borrowings of up to $50.0 million (as amended, the “Term Loan”). Available commitments under our Term Loan were able to be drawn in up to three tranches, which were subject to the Company achieving certain funding, regulatory or revenue milestones, with $20.0 million available in the first tranche and $15.0 million available in each of the second and third tranches.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3" w:name="page34"/>
    <w:bookmarkEnd w:id="33"/>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On December 28, 2020, we drew the first tranche of the Term Loan in the amount of $20.0 million. In conjunction with the draw on the first tranche, West Affum Holdings, L.P. issued a warrant to the lender to purchase up to 49,044 shares of West Affum Holdings, L.P.’s common units at an exercise price of $22.63 per unit. The fair value of the warrant is $0.3 million and is recognized as a debt discount and as a capital contribution, and the debt discount is amortized over the term of the loan to interest expense. On January 21, 2022, we drew on the second tranche of the Term Loan in the amount of $15.0 million. In conjunction with the draw of the second tranche, West Affum Holdings, L.P. issued a warrant to the lender to purchase up to 36,783 shares of West Affum Holdings, L.P.’s common units at an exercise price of $26.24 per unit. The fair value of the warrant is $0.4 million and is recognized as a debt discount and as a capital contribution, and the debt discount is amortized over the term of the loan to interest expense.</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September 29, 2023, we repaid our Term Loan in full using a portion of our borrowings under the Term Loan.</w:t>
      </w:r>
    </w:p>
    <w:p>
      <w:pPr>
        <w:spacing w:after="0" w:line="11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matures on September 29, 2028. Borrowings under the Term Loan 2024 are made available in up to three tranches, the first of which is available upon closing of the Term Loan 2024 and two follow-on tranches of $7.5 million which become available before November 1, 2024 and February 1, 2025 and are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follow-on tranche of the Term Loan 2024. As a result, we expensed the asset related to debt issuance costs and facility fees in the amount of $0.5 million. The Term Loan 2024 bears interest on outstanding balances of Term SOFR plus a margin of 7.25% per annum. On or prior to March 31, 2025, up to 2.00% of the margin can be paid-in-kind, accrued and added to the principal balance and compounded quarterly. All interest is due and payable quarterly in arrears.</w:t>
      </w:r>
    </w:p>
    <w:p>
      <w:pPr>
        <w:spacing w:after="0" w:line="8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is $1.6 million and is recognized as a debt discount and as a capital contribution, and the debt discount is amortized over the term of the loan to interest expense.</w:t>
      </w:r>
    </w:p>
    <w:p>
      <w:pPr>
        <w:spacing w:after="0" w:line="7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February 25, 2025, we amended the Term Loan 2024 pursuant to the Second Amendment to Credit Agreement to adjust the revenue milestones set forth in the Term Loan 2024 and to amend our ability to draw on additional funds. Upon the completion of the IPO,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a new warrant to purchase up to 325,847 Common Shares of Kestra Medical Technologies, Ltd. with an exercise price of $11.54 per share.</w:t>
      </w:r>
    </w:p>
    <w:p>
      <w:pPr>
        <w:spacing w:after="0" w:line="77"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color w:val="auto"/>
        </w:rPr>
        <w:t>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our unaudited condensed consolidated financial statements for the three and nine months ended January 31, 2025 and 2024 included elsewhere in this Quarterly Report on Form 10-Q and our consolidated financial statements for the fiscal years ended April 30, 2024 and 2023 included in the IPO Prospectus.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activities, investing activities and financing activities for the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2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January 31,</w:t>
            </w:r>
          </w:p>
        </w:tc>
        <w:tc>
          <w:tcPr>
            <w:tcW w:w="0" w:type="dxa"/>
            <w:vAlign w:val="bottom"/>
          </w:tcPr>
          <w:p>
            <w:pPr>
              <w:spacing w:after="0"/>
              <w:rPr>
                <w:sz w:val="1"/>
                <w:szCs w:val="1"/>
                <w:color w:val="auto"/>
              </w:rPr>
            </w:pPr>
          </w:p>
        </w:tc>
      </w:tr>
      <w:tr>
        <w:trPr>
          <w:trHeight w:val="147"/>
        </w:trPr>
        <w:tc>
          <w:tcPr>
            <w:tcW w:w="590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6"/>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7"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(53,909 )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(57,287 )</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(15,547 )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(8,070 )</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115,559</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Operating Activities</w:t>
      </w:r>
    </w:p>
    <w:p>
      <w:pPr>
        <w:spacing w:after="0" w:line="1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For the nine months ended January 31, 2025, cash used in operating activities was $54.0 million, which primarily consisted of a net loss of $62.7 million and a net decrease of $2.8 million in operating assets and liabilities, offset by a net increase of $11.5 million in non-cash charges. The net change in our operating assets and liabilities consisted of changes in accounts payable of $3.0 million, accrued liabilities of $2.7 million, driven by increases in professional services fees related to the IPO, and operating lease liabilities of $0.2 million, partially offset by changes in account receivables of $5.9 million, disposable medical equipment supplies of $2.7 million and prepaid expenses and other current assets of $0.1 million. The non-cash charges primarily consisted of depreciation and amortization of $6.1 million, stock-based compensation expense of $2.0 million, interest paid-in-kind of $0.7 million related to the Term Loan 2024, loss on disposal of property and equipment of $1.4 million, non-cash lease expense of $0.3 million, and amortization of debt discounts and issuance costs of $1.0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nine months ended January 31, 2024, cash used in operating activities was $57.3 million, which primarily consisted of a net loss of $71.8 million offset by a net increase of $1.6 million in operating assets and liabilities, and $12.9 million in non-cash charges. The net increase in our operating assets and liabilities was primarily due to changes in accounts payable of $5.7 million and prepaid expenses and other current assets of $0.1 million, partially offset by changes in accounts receivable of $1.4 million, accrued liabilities of $0.8 million, operating lease liabilities of $0.6 million attributable to operating lease repayments, and disposable medical equipment supplies of $1.4 million. The non-cash charges primarily consisted of interest paid-in-kind of $0.9 million related to the Term Loan 2024 and the Term Loan, depreciation and amortization expense of $8.1 million, stock-based compensation expense of $1.1 million, non-cash lease expense of $0.7 million, loss on disposal of property and equipment of $0.8 million, amortization of debt discounts and issuance costs of $0.4 million, and non-cash loss on debt extinguishment of $0.9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Investing Activities</w:t>
      </w:r>
    </w:p>
    <w:p>
      <w:pPr>
        <w:spacing w:after="0" w:line="11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2025 and 2024, cash used in investing activities was $15.5 million and $8.1 million, respectively, which primarily consisted of purchases of property and equipment such as medical rental equipment, computer hardware, test equipment and other research and development activities, and leasehold improvements.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Financing Activities</w:t>
      </w:r>
    </w:p>
    <w:p>
      <w:pPr>
        <w:spacing w:after="0" w:line="11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31, 2025, cash provided by financing activities was $115.6 million, which primarily consisted of $103.4 million in proceeds from the issuance of redeemable preferred stock and $17.1 million in proceeds from issuance of stock to non-controlling interest. The increase in cash provided by financing activities was offset by equity issuance costs of $3.2 million, deemed dividend payments of $1.6 million, and payments of deferred offering costs of $0.1 million.</w:t>
      </w:r>
    </w:p>
    <w:p>
      <w:pPr>
        <w:spacing w:after="0" w:line="7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31, 2024, cash provided by financing activities was $65.5 million, which primarily consisted of proceeds from the issuance of redeemable preferred stock of $62.5 million and $45.0 million in proceeds from the initial draw on the Term Loan 2024 in September 2023. The increase in cash provided by financing activities was offset by re-payments of long-term debt of $39.1 million, payment of debt issuance costs of $2.4 million, and deemed dividend payments of $0.5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As of January 31, 2025, we had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condensed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could have a material impact on the Company’s business, financial condition, results of operations and prospects.</w:t>
      </w:r>
    </w:p>
    <w:p>
      <w:pPr>
        <w:spacing w:after="0" w:line="8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elsewhere in this Quarterly Report on Form 10-Q for information about our significant accounting policies and how estimates are involved in the preparation of our financial statements. There have been no material changes to our significant accounting policies and estimates as described in the IPO Prospectus.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Recently issued and adopted accounting pronouncements are described in Note 2 to our unaudited condensed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January 31, 2025, because of the material weaknesses in our internal control over financial reporting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54"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spacing w:after="0" w:line="6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spacing w:after="0" w:line="7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spacing w:after="0" w:line="6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54"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begun implementation of a plan to remediate these material weaknesses. These remediation measures are ongoing as of the date of this Form 10-Q and include: hiring additional personnel, such as financial planning and accounting, compliance, information technology,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spacing w:after="0" w:line="75"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intend to evaluate current and projected resource needs on a regular basis and hire additional qualified resources as needed. Our ability to maintain qualified and adequate resources to support the Company and our projected growth will be a critical component of our internal control environment.</w:t>
      </w:r>
    </w:p>
    <w:p>
      <w:pPr>
        <w:spacing w:after="0" w:line="68" w:lineRule="exact"/>
        <w:rPr>
          <w:sz w:val="20"/>
          <w:szCs w:val="20"/>
          <w:color w:val="auto"/>
        </w:rPr>
      </w:pPr>
    </w:p>
    <w:p>
      <w:pPr>
        <w:ind w:right="220" w:firstLine="749"/>
        <w:spacing w:after="0" w:line="276" w:lineRule="auto"/>
        <w:rPr>
          <w:sz w:val="20"/>
          <w:szCs w:val="20"/>
          <w:color w:val="auto"/>
        </w:rPr>
      </w:pPr>
      <w:r>
        <w:rPr>
          <w:rFonts w:ascii="Times New Roman" w:cs="Times New Roman" w:eastAsia="Times New Roman" w:hAnsi="Times New Roman"/>
          <w:sz w:val="17"/>
          <w:szCs w:val="17"/>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during the quarter ended January 31, 2025 by this Quarterly Report on Form 10-Q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Investing in our common shares involves a high degree of risk. For a detailed discussion of the risks that affect our business, please refer to the section entitled “Risk Factors” in the IPO Prospectus. There have been no material changes to our risk factors as previously disclosed in the IPO Prospectus.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Initial Public Offering of Common Shares</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March 7, 2025 we completed the initial public offering of our Common Shares pursuant to a registration statement on Form S-1 (File No. 333-284807), which was declared effective on March 5, 2025. Under the registration statement, we sold an aggregate of 13,664,704 Common Shares at the public offering price of $17.00 per share. This included 1,782,352 Common Shares issued by the Company pursuant to the option to purchase additional shares granted to the underwriters. BofA Securities, Inc., Goldman Sachs &amp; Co. LLC and Piper Sandler &amp; Co. acted as representatives of the underwriters for the offering. We received net proceeds, after deducting underwriting discounts and commissions and before deducting estimated offering costs, of approximately $215.8 million. There has been no material change in the use of proceeds as described in the IPO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2025, none of our directors or officers adopted, modified,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720" w:type="dxa"/>
            <w:vAlign w:val="bottom"/>
            <w:gridSpan w:val="1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4"/>
                <w:szCs w:val="14"/>
                <w:color w:val="auto"/>
              </w:rPr>
            </w:pPr>
          </w:p>
        </w:tc>
        <w:tc>
          <w:tcPr>
            <w:tcW w:w="10180" w:type="dxa"/>
            <w:vAlign w:val="bottom"/>
            <w:gridSpan w:val="21"/>
          </w:tcPr>
          <w:p>
            <w:pPr>
              <w:spacing w:after="0" w:line="169"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Certificate of Incorporation (previously filed as Exhibit 3.1 to the Registration Statement on Form S-1 (File No. 333-284807) filed 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February 10,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Memorandum of Association (previously filed as Exhibit 3.2 to the Registration Statement on Form S-1 (File No. 333-284807) filed 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February 10,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Amended and Restated Bye-laws of the Registrant (previously filed as Exhibit 3.1 to the Current Report on Form 8-K (File No. 001-42549)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Certificate of Deposit of Memorandum of Increase of Share Capital (previously filed as Exhibit 3.2 to the Current Report on Form 8-K (File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No. 001-42549) 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Assignment and Assumption of Registration Rights Agreement, dated as of February 26, 2025, by and between West Affum Holdings, L.P.</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and Kestra Medical Technologies, Ltd. (previously filed as Exhibit 10.1 to Amendment No. 1 to the Registration Statement on Form S-1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(File No. 333-284807) filed on February 26,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 +</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Kestra Medical Technologies, Ltd. 2025 Omnibus Incentive Plan (previously filed as Exhibit 10.4 to the Current Report on Form 8-K filed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 +</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Forms of Equity Award Agreements under Kestra Medical Technologies, Ltd. 2025 Omnibus Incentive Plan (previously filed as Exhibit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Amendment No. 1 to the Registration Statement on Form S-1 (File No. 333-284807) filed on February 26, 2025 and incorporated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Director Compensation and Securities Agreement, dated as of November 3, 2024, between West Affum Holdings, L.P., Orly Mishan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West Affum GP Ltd. (previously filed as Exhibit 10.9 to the Registration Statement on Form S-1 (File No. 333-284807) filed on February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10,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Amended and Restated Credit Agreement and Guaranty, dated as of February 25, 2025, among Kestra Medical Technologies, Inc. and West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Affum Holdings Corp., as borrowers, the guarantors from time to time thereto, the lenders from time to time party thereto and Perceptive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Credit Holdings IV, LP, as administrative agent and as a lender (previously filed as Exhibit 10.12 to Amendment No. 1 to the Registration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Statement on Form S-1 (File No. 333-284807) filed on February 26,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Offer Letter of Employment, dated as of January 23, 2025, between Kestra Medical Technologies, Inc. and Al Ford (previously filed as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Exhibit 10.13 to Amendment No. 1 to the Registration Statement on Form S-1 (File No. 333-284807) filed on March 3, 2025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Warrant to Purchase 62,325 Common Shares issued to Kennedy Lewis Capital Partners Master Fund II LP, dated March 7, 2025, by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among Kestra Medical Technologies, Ltd., West Affum Holdings, L.P. and Kennedy Lewis Capital Partners Master Fund II LP (previously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filed as Exhibit 10.1 to the Current Report on Form 8-K 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Warrant to Purchase 46,744 Common Shares issued to Kennedy Lewis Capital Partners Master Fund II LP, dated March 7, 2025, by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among Kestra Medical Technologies, Ltd., West Affum Holdings, L.P. and Kennedy Lewis Capital Partners Master Fund II LP (previously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filed as Exhibit 10.2 to the Current Report on Form 8-K 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Warrant to Purchase 325,847 Common Shares issued to Perceptive Credit Holdings IV, LP, dated March 7, 2025, by and among Kestra</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Medical Technologies, Ltd., West Affum Holdings, L.P. and Perceptive Credit Holdings IV, LP (previously filed as Exhibit 10.3 to the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Current Report on Form 8-K 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620" w:type="dxa"/>
            <w:vAlign w:val="bottom"/>
            <w:tcBorders>
              <w:right w:val="single" w:sz="8" w:color="0000EE"/>
            </w:tcBorders>
            <w:gridSpan w:val="3"/>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40" w:type="dxa"/>
            <w:vAlign w:val="bottom"/>
            <w:gridSpan w:val="7"/>
            <w:shd w:val="clear" w:color="auto" w:fill="0000FF"/>
          </w:tcPr>
          <w:p>
            <w:pPr>
              <w:spacing w:after="0" w:line="20" w:lineRule="exact"/>
              <w:rPr>
                <w:sz w:val="1"/>
                <w:szCs w:val="1"/>
                <w:color w:val="auto"/>
              </w:rPr>
            </w:pPr>
          </w:p>
        </w:tc>
        <w:tc>
          <w:tcPr>
            <w:tcW w:w="380" w:type="dxa"/>
            <w:vAlign w:val="bottom"/>
            <w:tcBorders>
              <w:left w:val="single" w:sz="8" w:color="0000FF"/>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13"/>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060" w:type="dxa"/>
            <w:vAlign w:val="bottom"/>
            <w:gridSpan w:val="18"/>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980" w:type="dxa"/>
            <w:vAlign w:val="bottom"/>
            <w:gridSpan w:val="19"/>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18"/>
                <w:szCs w:val="18"/>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20"/>
                <w:szCs w:val="20"/>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420" w:firstLine="21"/>
        <w:spacing w:after="0" w:line="372"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9512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management contract or compensatory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17, 2025</w:t>
            </w:r>
          </w:p>
        </w:tc>
        <w:tc>
          <w:tcPr>
            <w:tcW w:w="25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Webster</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Brian Webster</w:t>
            </w:r>
          </w:p>
        </w:tc>
      </w:tr>
      <w:tr>
        <w:trPr>
          <w:trHeight w:val="234"/>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17, 2025</w:t>
            </w:r>
          </w:p>
        </w:tc>
        <w:tc>
          <w:tcPr>
            <w:tcW w:w="25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Vaseem Mahboob</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Vaseem Mahboob</w:t>
            </w:r>
          </w:p>
        </w:tc>
      </w:tr>
      <w:tr>
        <w:trPr>
          <w:trHeight w:val="234"/>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32"/>
        </w:trPr>
        <w:tc>
          <w:tcPr>
            <w:tcW w:w="352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w:t>
            </w:r>
          </w:p>
        </w:tc>
        <w:tc>
          <w:tcPr>
            <w:tcW w:w="514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Webster, certify that:</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80" w:val="left"/>
          <w:tab w:leader="none" w:pos="7220" w:val="left"/>
        </w:tabs>
        <w:rPr>
          <w:sz w:val="20"/>
          <w:szCs w:val="20"/>
          <w:color w:val="auto"/>
        </w:rPr>
      </w:pPr>
      <w:r>
        <w:rPr>
          <w:rFonts w:ascii="Times New Roman" w:cs="Times New Roman" w:eastAsia="Times New Roman" w:hAnsi="Times New Roman"/>
          <w:sz w:val="18"/>
          <w:szCs w:val="18"/>
          <w:color w:val="auto"/>
        </w:rPr>
        <w:t>Date: April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42862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1"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Vaseem Mahboob, certify that:</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740" w:val="left"/>
          <w:tab w:leader="none" w:pos="7740" w:val="left"/>
        </w:tabs>
        <w:rPr>
          <w:sz w:val="20"/>
          <w:szCs w:val="20"/>
          <w:color w:val="auto"/>
        </w:rPr>
      </w:pPr>
      <w:r>
        <w:rPr>
          <w:rFonts w:ascii="Times New Roman" w:cs="Times New Roman" w:eastAsia="Times New Roman" w:hAnsi="Times New Roman"/>
          <w:sz w:val="18"/>
          <w:szCs w:val="18"/>
          <w:color w:val="auto"/>
        </w:rPr>
        <w:t>Date: April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ending January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3800" w:val="left"/>
          <w:tab w:leader="none" w:pos="7200" w:val="left"/>
        </w:tabs>
        <w:rPr>
          <w:sz w:val="20"/>
          <w:szCs w:val="20"/>
          <w:color w:val="auto"/>
        </w:rPr>
      </w:pPr>
      <w:r>
        <w:rPr>
          <w:rFonts w:ascii="Times New Roman" w:cs="Times New Roman" w:eastAsia="Times New Roman" w:hAnsi="Times New Roman"/>
          <w:sz w:val="18"/>
          <w:szCs w:val="18"/>
          <w:color w:val="auto"/>
        </w:rPr>
        <w:t>Date: April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17145</wp:posOffset>
            </wp:positionV>
            <wp:extent cx="43116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2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ending January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4940" w:val="left"/>
          <w:tab w:leader="none" w:pos="7740" w:val="left"/>
        </w:tabs>
        <w:rPr>
          <w:sz w:val="20"/>
          <w:szCs w:val="20"/>
          <w:color w:val="auto"/>
        </w:rPr>
      </w:pPr>
      <w:r>
        <w:rPr>
          <w:rFonts w:ascii="Times New Roman" w:cs="Times New Roman" w:eastAsia="Times New Roman" w:hAnsi="Times New Roman"/>
          <w:sz w:val="18"/>
          <w:szCs w:val="18"/>
          <w:color w:val="auto"/>
        </w:rPr>
        <w:t>Date: April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0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42" Type="http://schemas.openxmlformats.org/officeDocument/2006/relationships/hyperlink" Target="https://www.sec.gov/Archives/edgar/data/1877184/000119312525023649/d744414dex31.htm" TargetMode="External"/><Relationship Id="rId243" Type="http://schemas.openxmlformats.org/officeDocument/2006/relationships/hyperlink" Target="https://www.sec.gov/Archives/edgar/data/1877184/000119312525023649/d744414dex32.htm" TargetMode="External"/><Relationship Id="rId244" Type="http://schemas.openxmlformats.org/officeDocument/2006/relationships/hyperlink" Target="https://www.sec.gov/Archives/edgar/data/1877184/000119312525049896/d890644dex31.htm" TargetMode="External"/><Relationship Id="rId245" Type="http://schemas.openxmlformats.org/officeDocument/2006/relationships/hyperlink" Target="https://www.sec.gov/Archives/edgar/data/1877184/000119312525049896/d890644dex32.htm" TargetMode="External"/><Relationship Id="rId246" Type="http://schemas.openxmlformats.org/officeDocument/2006/relationships/hyperlink" Target="https://www.sec.gov/Archives/edgar/data/1877184/000119312525035754/d744414dex101.htm" TargetMode="External"/><Relationship Id="rId247" Type="http://schemas.openxmlformats.org/officeDocument/2006/relationships/hyperlink" Target="https://www.sec.gov/Archives/edgar/data/1877184/000119312525049896/d890644dex104.htm" TargetMode="External"/><Relationship Id="rId248" Type="http://schemas.openxmlformats.org/officeDocument/2006/relationships/hyperlink" Target="https://www.sec.gov/Archives/edgar/data/1877184/000119312525035754/d744414dex103.htm" TargetMode="External"/><Relationship Id="rId249" Type="http://schemas.openxmlformats.org/officeDocument/2006/relationships/hyperlink" Target="https://www.sec.gov/Archives/edgar/data/1877184/000119312525023649/d744414dex109.htm" TargetMode="External"/><Relationship Id="rId250" Type="http://schemas.openxmlformats.org/officeDocument/2006/relationships/hyperlink" Target="https://www.sec.gov/Archives/edgar/data/1877184/000119312525035754/d744414dex1012.htm" TargetMode="External"/><Relationship Id="rId251" Type="http://schemas.openxmlformats.org/officeDocument/2006/relationships/hyperlink" Target="https://www.sec.gov/Archives/edgar/data/1877184/000119312525043885/d744414dex1013.htm" TargetMode="External"/><Relationship Id="rId252" Type="http://schemas.openxmlformats.org/officeDocument/2006/relationships/hyperlink" Target="https://www.sec.gov/Archives/edgar/data/1877184/000119312525049896/d890644dex101.htm" TargetMode="External"/><Relationship Id="rId253" Type="http://schemas.openxmlformats.org/officeDocument/2006/relationships/hyperlink" Target="https://www.sec.gov/Archives/edgar/data/1877184/000119312525049896/d890644dex102.htm" TargetMode="External"/><Relationship Id="rId254" Type="http://schemas.openxmlformats.org/officeDocument/2006/relationships/hyperlink" Target="https://www.sec.gov/Archives/edgar/data/1877184/000119312525049896/d89064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2025-04-17T14:44:21Z</dcterms:created>
  <dcterms:modified xsi:type="dcterms:W3CDTF">2025-04-17T14:44:21Z</dcterms:modified>
</cp:coreProperties>
</file>